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bidi w:val="0"/>
        <w:rPr>
          <w:rFonts w:hint="eastAsia"/>
        </w:rPr>
      </w:pPr>
      <w:bookmarkStart w:id="0" w:name="zhengwen"/>
      <w:r>
        <w:rPr>
          <w:rFonts w:hint="eastAsia"/>
          <w:lang w:eastAsia="zh-CN"/>
        </w:rPr>
        <w:t>非慢性创面敷贴</w:t>
      </w:r>
      <w:r>
        <w:rPr>
          <w:rFonts w:hint="eastAsia"/>
        </w:rPr>
        <w:t>产品注册审查指导原则</w:t>
      </w:r>
    </w:p>
    <w:p>
      <w:pPr>
        <w:jc w:val="center"/>
        <w:rPr>
          <w:rFonts w:hint="eastAsia" w:ascii="方正小标宋简体" w:hAnsi="方正小标宋简体" w:eastAsia="方正小标宋简体" w:cs="方正小标宋简体"/>
          <w:sz w:val="44"/>
          <w:szCs w:val="44"/>
          <w:lang w:eastAsia="zh-CN"/>
        </w:rPr>
      </w:pPr>
      <w:bookmarkStart w:id="1" w:name="_Toc354585106"/>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2021年制定</w:t>
      </w:r>
      <w:r>
        <w:rPr>
          <w:rFonts w:hint="eastAsia" w:ascii="方正小标宋简体" w:hAnsi="方正小标宋简体" w:eastAsia="方正小标宋简体" w:cs="方正小标宋简体"/>
          <w:sz w:val="44"/>
          <w:szCs w:val="44"/>
          <w:lang w:eastAsia="zh-CN"/>
        </w:rPr>
        <w:t>）（征求意见稿）</w:t>
      </w:r>
    </w:p>
    <w:p>
      <w:pPr>
        <w:pStyle w:val="16"/>
        <w:bidi w:val="0"/>
      </w:pPr>
    </w:p>
    <w:bookmarkEnd w:id="1"/>
    <w:p>
      <w:pPr>
        <w:pStyle w:val="8"/>
        <w:keepNext w:val="0"/>
        <w:keepLines w:val="0"/>
        <w:pageBreakBefore w:val="0"/>
        <w:widowControl w:val="0"/>
        <w:kinsoku/>
        <w:wordWrap/>
        <w:topLinePunct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本指导原则旨在为申请人进行非慢性创面敷贴产品的注册申报提供技术指导，同时也为药品监督管理部门对注册申报资料的审评提供技术参考。</w:t>
      </w:r>
    </w:p>
    <w:p>
      <w:pPr>
        <w:pStyle w:val="8"/>
        <w:keepNext w:val="0"/>
        <w:keepLines w:val="0"/>
        <w:pageBreakBefore w:val="0"/>
        <w:widowControl w:val="0"/>
        <w:kinsoku/>
        <w:wordWrap/>
        <w:topLinePunct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本指导原则是对非慢性创面敷贴产品注册申报资料的一般要求，申请人应依据产品的具体特性确定其中的</w:t>
      </w:r>
      <w:bookmarkStart w:id="9" w:name="_GoBack"/>
      <w:bookmarkEnd w:id="9"/>
      <w:r>
        <w:rPr>
          <w:rFonts w:hint="eastAsia" w:ascii="Times New Roman" w:hAnsi="Times New Roman" w:eastAsia="仿宋_GB2312" w:cs="仿宋_GB2312"/>
          <w:snapToGrid w:val="0"/>
          <w:kern w:val="0"/>
          <w:sz w:val="32"/>
          <w:szCs w:val="32"/>
          <w:lang w:val="en-US" w:eastAsia="zh-CN" w:bidi="ar-SA"/>
        </w:rPr>
        <w:t>内容是否适用。若不适用，需详细阐述理由及相应的科学依据，并依据产品的具体特性对注册申报资料的内容进行充实和细化。</w:t>
      </w:r>
    </w:p>
    <w:p>
      <w:pPr>
        <w:pStyle w:val="8"/>
        <w:keepNext w:val="0"/>
        <w:keepLines w:val="0"/>
        <w:pageBreakBefore w:val="0"/>
        <w:widowControl w:val="0"/>
        <w:kinsoku/>
        <w:wordWrap/>
        <w:topLinePunct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本指导原则是对申请人和审查人员的指导性文件，但不包括注册审批所涉及的行政事项，亦不作为法规强制执行，如果有能满足相关法规要求的其他方法，也可以采用，但是需要提供详细的研究资料和验证资料。应在遵循相关法规的前提下使用本指导原则。</w:t>
      </w:r>
    </w:p>
    <w:p>
      <w:pPr>
        <w:pStyle w:val="8"/>
        <w:keepNext w:val="0"/>
        <w:keepLines w:val="0"/>
        <w:pageBreakBefore w:val="0"/>
        <w:widowControl w:val="0"/>
        <w:kinsoku/>
        <w:wordWrap/>
        <w:topLinePunct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本指导原则是在现行法规和标准体系以及当前认知水平下制定的，随着法规和标准的不断完善，以及科学技术的不断发展，本指导原则相关内容也将进行适时的调整。</w:t>
      </w:r>
    </w:p>
    <w:p>
      <w:pPr>
        <w:pStyle w:val="2"/>
        <w:bidi w:val="0"/>
      </w:pPr>
      <w:bookmarkStart w:id="2" w:name="_Toc354585107"/>
      <w:r>
        <w:t>一、适用范围</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本指导原则适用于《医疗器械分类目录》中分类编码为14-10-01项下创面敷贴类和14-10-02项下创口贴类产品。</w:t>
      </w:r>
      <w:r>
        <w:rPr>
          <w:rFonts w:hint="default" w:ascii="Times New Roman" w:hAnsi="Times New Roman" w:eastAsia="仿宋_GB2312" w:cs="仿宋_GB2312"/>
          <w:snapToGrid w:val="0"/>
          <w:kern w:val="0"/>
          <w:sz w:val="32"/>
          <w:szCs w:val="32"/>
          <w:lang w:val="en-US" w:eastAsia="zh-CN" w:bidi="ar-SA"/>
        </w:rPr>
        <w:t>本指导原则不适用于</w:t>
      </w:r>
      <w:r>
        <w:rPr>
          <w:rFonts w:hint="eastAsia" w:ascii="Times New Roman" w:hAnsi="Times New Roman" w:eastAsia="仿宋_GB2312" w:cs="仿宋_GB2312"/>
          <w:snapToGrid w:val="0"/>
          <w:kern w:val="0"/>
          <w:sz w:val="32"/>
          <w:szCs w:val="32"/>
          <w:lang w:val="en-US" w:eastAsia="zh-CN" w:bidi="ar-SA"/>
        </w:rPr>
        <w:t>14-16-08项下的体表固定装置类产品，</w:t>
      </w:r>
      <w:r>
        <w:rPr>
          <w:rFonts w:hint="default" w:ascii="Times New Roman" w:hAnsi="Times New Roman" w:eastAsia="仿宋_GB2312" w:cs="仿宋_GB2312"/>
          <w:snapToGrid w:val="0"/>
          <w:kern w:val="0"/>
          <w:sz w:val="32"/>
          <w:szCs w:val="32"/>
          <w:lang w:val="en-US" w:eastAsia="zh-CN" w:bidi="ar-SA"/>
        </w:rPr>
        <w:t>但可以参考本指导原则对这些产品进行技术审查</w:t>
      </w:r>
      <w:r>
        <w:rPr>
          <w:rFonts w:hint="eastAsia" w:ascii="Times New Roman" w:hAnsi="Times New Roman" w:eastAsia="仿宋_GB2312" w:cs="仿宋_GB2312"/>
          <w:snapToGrid w:val="0"/>
          <w:kern w:val="0"/>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Times New Roman" w:hAnsi="Times New Roman" w:eastAsia="仿宋_GB2312" w:cs="仿宋_GB2312"/>
          <w:snapToGrid w:val="0"/>
          <w:kern w:val="0"/>
          <w:sz w:val="32"/>
          <w:szCs w:val="32"/>
          <w:lang w:val="en-US" w:eastAsia="zh-CN" w:bidi="ar-SA"/>
        </w:rPr>
      </w:pPr>
      <w:bookmarkStart w:id="3" w:name="_Toc354585108"/>
      <w:r>
        <w:rPr>
          <w:rFonts w:hint="eastAsia" w:ascii="Times New Roman" w:hAnsi="Times New Roman" w:eastAsia="仿宋_GB2312" w:cs="仿宋_GB2312"/>
          <w:snapToGrid w:val="0"/>
          <w:kern w:val="0"/>
          <w:sz w:val="32"/>
          <w:szCs w:val="32"/>
          <w:lang w:val="en-US" w:eastAsia="zh-CN" w:bidi="ar-SA"/>
        </w:rPr>
        <w:t>本指导原则不适用于含有活性成分或能释放活性物质/能量的物质、人/动物源性材料、组织工程材料、可降解材料等的创面敷贴，或其他形式的创面敷贴（如用于慢性创面的敷贴、可吸收外科防粘连敷贴、粉末敷贴、凝胶敷贴、水胶体敷贴、纤维敷贴、泡沫敷贴、含壳聚糖敷贴或液体、膏状敷贴等），亦不用于负压引流时封闭创面的负压引流封闭膜。</w:t>
      </w:r>
    </w:p>
    <w:p>
      <w:pPr>
        <w:pStyle w:val="2"/>
        <w:bidi w:val="0"/>
      </w:pPr>
      <w:r>
        <w:t>二、</w:t>
      </w:r>
      <w:r>
        <w:rPr>
          <w:rFonts w:hint="eastAsia"/>
          <w:lang w:eastAsia="zh-CN"/>
        </w:rPr>
        <w:t>技术审查要点</w:t>
      </w:r>
      <w:bookmarkEnd w:id="3"/>
    </w:p>
    <w:p>
      <w:pPr>
        <w:pStyle w:val="3"/>
        <w:bidi w:val="0"/>
        <w:rPr>
          <w:rFonts w:hint="eastAsia"/>
          <w:lang w:eastAsia="zh-CN"/>
        </w:rPr>
      </w:pPr>
      <w:r>
        <w:rPr>
          <w:rFonts w:hint="eastAsia"/>
        </w:rPr>
        <w:t>（一）</w:t>
      </w:r>
      <w:r>
        <w:rPr>
          <w:rFonts w:hint="eastAsia"/>
          <w:lang w:eastAsia="zh-CN"/>
        </w:rPr>
        <w:t>监管信息</w:t>
      </w:r>
    </w:p>
    <w:p>
      <w:pPr>
        <w:pStyle w:val="2"/>
        <w:keepNext/>
        <w:keepLines/>
        <w:pageBreakBefore w:val="0"/>
        <w:widowControl w:val="0"/>
        <w:kinsoku/>
        <w:wordWrap/>
        <w:overflowPunct/>
        <w:topLinePunct w:val="0"/>
        <w:autoSpaceDE/>
        <w:autoSpaceDN/>
        <w:bidi w:val="0"/>
        <w:adjustRightInd/>
        <w:snapToGrid/>
        <w:spacing w:before="0" w:after="0" w:line="520" w:lineRule="exact"/>
        <w:ind w:left="0" w:leftChars="0" w:firstLine="640" w:firstLineChars="200"/>
        <w:jc w:val="both"/>
        <w:textAlignment w:val="auto"/>
        <w:rPr>
          <w:rFonts w:eastAsia="仿宋_GB2312"/>
          <w:snapToGrid w:val="0"/>
          <w:kern w:val="0"/>
          <w:sz w:val="32"/>
          <w:szCs w:val="32"/>
        </w:rPr>
      </w:pPr>
      <w:r>
        <w:rPr>
          <w:rFonts w:eastAsia="仿宋_GB2312"/>
          <w:sz w:val="32"/>
          <w:szCs w:val="32"/>
        </w:rPr>
        <w:t>申请人应描述</w:t>
      </w:r>
      <w:r>
        <w:rPr>
          <w:rFonts w:hint="eastAsia" w:eastAsia="仿宋_GB2312"/>
          <w:snapToGrid w:val="0"/>
          <w:kern w:val="0"/>
          <w:sz w:val="32"/>
          <w:szCs w:val="32"/>
          <w:lang w:eastAsia="zh-CN"/>
        </w:rPr>
        <w:t>非慢性创面敷贴</w:t>
      </w:r>
      <w:r>
        <w:rPr>
          <w:rFonts w:eastAsia="仿宋_GB2312"/>
          <w:snapToGrid w:val="0"/>
          <w:kern w:val="0"/>
          <w:sz w:val="32"/>
          <w:szCs w:val="32"/>
        </w:rPr>
        <w:t>的产品名称的确定依据</w:t>
      </w:r>
      <w:r>
        <w:rPr>
          <w:rFonts w:hint="eastAsia" w:eastAsia="仿宋_GB2312"/>
          <w:snapToGrid w:val="0"/>
          <w:kern w:val="0"/>
          <w:sz w:val="32"/>
          <w:szCs w:val="32"/>
        </w:rPr>
        <w:t>、</w:t>
      </w:r>
      <w:r>
        <w:rPr>
          <w:rFonts w:eastAsia="仿宋_GB2312"/>
          <w:snapToGrid w:val="0"/>
          <w:kern w:val="0"/>
          <w:sz w:val="32"/>
          <w:szCs w:val="32"/>
        </w:rPr>
        <w:t>管理类别、分类编码</w:t>
      </w:r>
      <w:r>
        <w:rPr>
          <w:rFonts w:hint="eastAsia" w:eastAsia="仿宋_GB2312"/>
          <w:snapToGrid w:val="0"/>
          <w:kern w:val="0"/>
          <w:sz w:val="32"/>
          <w:szCs w:val="32"/>
        </w:rPr>
        <w:t>、规格型号、产品组成等信息</w:t>
      </w:r>
      <w:r>
        <w:rPr>
          <w:rFonts w:eastAsia="仿宋_GB2312"/>
          <w:snapToGrid w:val="0"/>
          <w:kern w:val="0"/>
          <w:sz w:val="32"/>
          <w:szCs w:val="32"/>
        </w:rPr>
        <w:t>。</w:t>
      </w:r>
    </w:p>
    <w:p>
      <w:pPr>
        <w:pStyle w:val="4"/>
        <w:pageBreakBefore w:val="0"/>
        <w:widowControl w:val="0"/>
        <w:kinsoku/>
        <w:wordWrap/>
        <w:overflowPunct/>
        <w:topLinePunct w:val="0"/>
        <w:autoSpaceDE/>
        <w:autoSpaceDN/>
        <w:bidi w:val="0"/>
        <w:adjustRightInd/>
        <w:snapToGrid/>
        <w:spacing w:line="520" w:lineRule="exact"/>
        <w:textAlignment w:val="auto"/>
        <w:rPr>
          <w:rFonts w:hint="eastAsia"/>
          <w:lang w:eastAsia="zh-CN"/>
        </w:rPr>
      </w:pPr>
      <w:r>
        <w:rPr>
          <w:rFonts w:hint="eastAsia"/>
          <w:lang w:val="en-US" w:eastAsia="zh-CN"/>
        </w:rPr>
        <w:t>1.产品名称</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rPr>
        <w:t>产品的命名应符合《医疗器械通用名称命名规则》，采用</w:t>
      </w:r>
      <w:r>
        <w:rPr>
          <w:rFonts w:hint="eastAsia" w:ascii="仿宋" w:hAnsi="仿宋" w:eastAsia="仿宋" w:cs="仿宋"/>
          <w:sz w:val="32"/>
          <w:szCs w:val="32"/>
          <w:lang w:eastAsia="zh-CN"/>
        </w:rPr>
        <w:t>符合</w:t>
      </w:r>
      <w:r>
        <w:rPr>
          <w:rFonts w:hint="eastAsia" w:ascii="仿宋" w:hAnsi="仿宋" w:eastAsia="仿宋" w:cs="仿宋"/>
          <w:sz w:val="32"/>
          <w:szCs w:val="32"/>
        </w:rPr>
        <w:t>《医疗器械通用名称命名</w:t>
      </w:r>
      <w:r>
        <w:rPr>
          <w:rFonts w:hint="eastAsia" w:ascii="仿宋" w:hAnsi="仿宋" w:eastAsia="仿宋" w:cs="仿宋"/>
          <w:sz w:val="32"/>
          <w:szCs w:val="32"/>
          <w:lang w:eastAsia="zh-CN"/>
        </w:rPr>
        <w:t>指导原则</w:t>
      </w:r>
      <w:r>
        <w:rPr>
          <w:rFonts w:hint="eastAsia" w:ascii="仿宋" w:hAnsi="仿宋" w:eastAsia="仿宋" w:cs="仿宋"/>
          <w:sz w:val="32"/>
          <w:szCs w:val="32"/>
        </w:rPr>
        <w:t>》</w:t>
      </w:r>
      <w:r>
        <w:rPr>
          <w:rFonts w:hint="eastAsia" w:ascii="仿宋" w:hAnsi="仿宋" w:eastAsia="仿宋" w:cs="仿宋"/>
          <w:sz w:val="32"/>
          <w:szCs w:val="32"/>
          <w:lang w:eastAsia="zh-CN"/>
        </w:rPr>
        <w:t>要求的通用名称。</w:t>
      </w:r>
      <w:r>
        <w:rPr>
          <w:rFonts w:hint="eastAsia" w:ascii="仿宋" w:hAnsi="仿宋" w:eastAsia="仿宋" w:cs="仿宋"/>
          <w:sz w:val="32"/>
          <w:szCs w:val="32"/>
        </w:rPr>
        <w:t>一般采用“特征词+核心词”的命名方法</w:t>
      </w:r>
      <w:r>
        <w:rPr>
          <w:rFonts w:hint="eastAsia" w:ascii="仿宋" w:hAnsi="仿宋" w:eastAsia="仿宋" w:cs="仿宋"/>
          <w:sz w:val="32"/>
          <w:szCs w:val="32"/>
          <w:highlight w:val="none"/>
          <w:lang w:eastAsia="zh-CN"/>
        </w:rPr>
        <w:t>，特征词一般不超过</w:t>
      </w:r>
      <w:r>
        <w:rPr>
          <w:rFonts w:hint="eastAsia" w:ascii="仿宋" w:hAnsi="仿宋" w:eastAsia="仿宋" w:cs="仿宋"/>
          <w:sz w:val="32"/>
          <w:szCs w:val="32"/>
          <w:highlight w:val="none"/>
          <w:lang w:val="en-US" w:eastAsia="zh-CN"/>
        </w:rPr>
        <w:t>3个</w:t>
      </w:r>
      <w:r>
        <w:rPr>
          <w:rFonts w:hint="eastAsia" w:ascii="仿宋" w:hAnsi="仿宋" w:eastAsia="仿宋" w:cs="仿宋"/>
          <w:sz w:val="32"/>
          <w:szCs w:val="32"/>
          <w:highlight w:val="none"/>
        </w:rPr>
        <w:t>。</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命名举</w:t>
      </w:r>
      <w:r>
        <w:rPr>
          <w:rFonts w:hint="eastAsia" w:ascii="仿宋" w:hAnsi="仿宋" w:eastAsia="仿宋" w:cs="仿宋"/>
          <w:sz w:val="32"/>
          <w:szCs w:val="32"/>
          <w:highlight w:val="none"/>
        </w:rPr>
        <w:t>例：</w:t>
      </w:r>
      <w:r>
        <w:rPr>
          <w:rFonts w:hint="eastAsia" w:ascii="仿宋" w:hAnsi="仿宋" w:eastAsia="仿宋" w:cs="仿宋"/>
          <w:sz w:val="32"/>
          <w:szCs w:val="32"/>
          <w:highlight w:val="none"/>
          <w:lang w:eastAsia="zh-CN"/>
        </w:rPr>
        <w:t>防水输液敷贴、护脐透气敷贴、无菌防水创口贴、透明创口贴。</w:t>
      </w:r>
    </w:p>
    <w:p>
      <w:pPr>
        <w:pStyle w:val="4"/>
        <w:pageBreakBefore w:val="0"/>
        <w:widowControl w:val="0"/>
        <w:kinsoku/>
        <w:wordWrap/>
        <w:overflowPunct/>
        <w:topLinePunct w:val="0"/>
        <w:autoSpaceDE/>
        <w:autoSpaceDN/>
        <w:bidi w:val="0"/>
        <w:adjustRightInd/>
        <w:snapToGrid/>
        <w:spacing w:line="520" w:lineRule="exact"/>
        <w:textAlignment w:val="auto"/>
        <w:rPr>
          <w:rFonts w:hint="eastAsia"/>
          <w:lang w:val="en-US" w:eastAsia="zh-CN"/>
        </w:rPr>
      </w:pPr>
      <w:r>
        <w:rPr>
          <w:rFonts w:hint="eastAsia"/>
          <w:lang w:val="en-US" w:eastAsia="zh-CN"/>
        </w:rPr>
        <w:t>2.分类编码</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eastAsia="zh-CN"/>
        </w:rPr>
      </w:pPr>
      <w:r>
        <w:rPr>
          <w:rFonts w:hint="eastAsia" w:ascii="Times New Roman" w:hAnsi="Times New Roman" w:eastAsia="仿宋_GB2312" w:cs="仿宋_GB2312"/>
          <w:snapToGrid w:val="0"/>
          <w:kern w:val="0"/>
          <w:sz w:val="32"/>
          <w:szCs w:val="32"/>
          <w:lang w:eastAsia="zh-CN"/>
        </w:rPr>
        <w:t>参考《医疗器械分类目录》，申报产品属于子目录</w:t>
      </w:r>
      <w:r>
        <w:rPr>
          <w:rFonts w:hint="eastAsia" w:eastAsia="仿宋_GB2312" w:cs="仿宋_GB2312"/>
          <w:snapToGrid w:val="0"/>
          <w:kern w:val="0"/>
          <w:sz w:val="32"/>
          <w:szCs w:val="32"/>
          <w:lang w:val="en-US" w:eastAsia="zh-CN"/>
        </w:rPr>
        <w:t>14</w:t>
      </w:r>
      <w:r>
        <w:rPr>
          <w:rFonts w:hint="eastAsia" w:ascii="Times New Roman" w:hAnsi="Times New Roman" w:eastAsia="仿宋_GB2312" w:cs="仿宋_GB2312"/>
          <w:snapToGrid w:val="0"/>
          <w:kern w:val="0"/>
          <w:sz w:val="32"/>
          <w:szCs w:val="32"/>
          <w:lang w:eastAsia="zh-CN"/>
        </w:rPr>
        <w:t>-</w:t>
      </w:r>
      <w:r>
        <w:rPr>
          <w:rFonts w:hint="eastAsia" w:eastAsia="仿宋_GB2312" w:cs="仿宋_GB2312"/>
          <w:snapToGrid w:val="0"/>
          <w:kern w:val="0"/>
          <w:sz w:val="32"/>
          <w:szCs w:val="32"/>
          <w:lang w:eastAsia="zh-CN"/>
        </w:rPr>
        <w:t>注输、护理和防护器械</w:t>
      </w:r>
      <w:r>
        <w:rPr>
          <w:rFonts w:hint="eastAsia" w:ascii="Times New Roman" w:hAnsi="Times New Roman" w:eastAsia="仿宋_GB2312" w:cs="仿宋_GB2312"/>
          <w:snapToGrid w:val="0"/>
          <w:kern w:val="0"/>
          <w:sz w:val="32"/>
          <w:szCs w:val="32"/>
          <w:lang w:eastAsia="zh-CN"/>
        </w:rPr>
        <w:t>，一级产品类别</w:t>
      </w:r>
      <w:r>
        <w:rPr>
          <w:rFonts w:hint="eastAsia" w:eastAsia="仿宋_GB2312" w:cs="仿宋_GB2312"/>
          <w:snapToGrid w:val="0"/>
          <w:kern w:val="0"/>
          <w:sz w:val="32"/>
          <w:szCs w:val="32"/>
          <w:lang w:val="en-US" w:eastAsia="zh-CN"/>
        </w:rPr>
        <w:t>10</w:t>
      </w:r>
      <w:r>
        <w:rPr>
          <w:rFonts w:hint="eastAsia" w:ascii="Times New Roman" w:hAnsi="Times New Roman" w:eastAsia="仿宋_GB2312" w:cs="仿宋_GB2312"/>
          <w:snapToGrid w:val="0"/>
          <w:kern w:val="0"/>
          <w:sz w:val="32"/>
          <w:szCs w:val="32"/>
          <w:lang w:eastAsia="zh-CN"/>
        </w:rPr>
        <w:t>-</w:t>
      </w:r>
      <w:r>
        <w:rPr>
          <w:rFonts w:hint="eastAsia" w:eastAsia="仿宋_GB2312" w:cs="仿宋_GB2312"/>
          <w:snapToGrid w:val="0"/>
          <w:kern w:val="0"/>
          <w:sz w:val="32"/>
          <w:szCs w:val="32"/>
          <w:lang w:eastAsia="zh-CN"/>
        </w:rPr>
        <w:t>创面敷料</w:t>
      </w:r>
      <w:r>
        <w:rPr>
          <w:rFonts w:hint="eastAsia" w:ascii="Times New Roman" w:hAnsi="Times New Roman" w:eastAsia="仿宋_GB2312" w:cs="仿宋_GB2312"/>
          <w:snapToGrid w:val="0"/>
          <w:kern w:val="0"/>
          <w:sz w:val="32"/>
          <w:szCs w:val="32"/>
          <w:lang w:eastAsia="zh-CN"/>
        </w:rPr>
        <w:t>，二级产品类别</w:t>
      </w:r>
      <w:r>
        <w:rPr>
          <w:rFonts w:hint="eastAsia" w:eastAsia="仿宋_GB2312" w:cs="仿宋_GB2312"/>
          <w:snapToGrid w:val="0"/>
          <w:kern w:val="0"/>
          <w:sz w:val="32"/>
          <w:szCs w:val="32"/>
          <w:lang w:val="en-US" w:eastAsia="zh-CN"/>
        </w:rPr>
        <w:t>01</w:t>
      </w:r>
      <w:r>
        <w:rPr>
          <w:rFonts w:hint="eastAsia" w:ascii="Times New Roman" w:hAnsi="Times New Roman" w:eastAsia="仿宋_GB2312" w:cs="仿宋_GB2312"/>
          <w:snapToGrid w:val="0"/>
          <w:kern w:val="0"/>
          <w:sz w:val="32"/>
          <w:szCs w:val="32"/>
          <w:lang w:eastAsia="zh-CN"/>
        </w:rPr>
        <w:t>-</w:t>
      </w:r>
      <w:r>
        <w:rPr>
          <w:rFonts w:hint="eastAsia" w:eastAsia="仿宋_GB2312" w:cs="仿宋_GB2312"/>
          <w:snapToGrid w:val="0"/>
          <w:kern w:val="0"/>
          <w:sz w:val="32"/>
          <w:szCs w:val="32"/>
          <w:lang w:eastAsia="zh-CN"/>
        </w:rPr>
        <w:t>创面敷贴和</w:t>
      </w:r>
      <w:r>
        <w:rPr>
          <w:rFonts w:hint="eastAsia" w:eastAsia="仿宋_GB2312" w:cs="仿宋_GB2312"/>
          <w:snapToGrid w:val="0"/>
          <w:kern w:val="0"/>
          <w:sz w:val="32"/>
          <w:szCs w:val="32"/>
          <w:lang w:val="en-US" w:eastAsia="zh-CN"/>
        </w:rPr>
        <w:t>02-创口贴</w:t>
      </w:r>
      <w:r>
        <w:rPr>
          <w:rFonts w:hint="eastAsia" w:ascii="Times New Roman" w:hAnsi="Times New Roman" w:eastAsia="仿宋_GB2312" w:cs="仿宋_GB2312"/>
          <w:snapToGrid w:val="0"/>
          <w:kern w:val="0"/>
          <w:sz w:val="32"/>
          <w:szCs w:val="32"/>
          <w:lang w:eastAsia="zh-CN"/>
        </w:rPr>
        <w:t>。申报产品按第二类医疗器械管理。</w:t>
      </w:r>
    </w:p>
    <w:p>
      <w:pPr>
        <w:pStyle w:val="4"/>
        <w:bidi w:val="0"/>
        <w:rPr>
          <w:rFonts w:hint="default"/>
          <w:lang w:val="en-US" w:eastAsia="zh-CN"/>
        </w:rPr>
      </w:pPr>
      <w:r>
        <w:rPr>
          <w:rFonts w:hint="eastAsia"/>
          <w:lang w:val="en-US" w:eastAsia="zh-CN"/>
        </w:rPr>
        <w:t>3.注册单元划分</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s="仿宋_GB2312"/>
          <w:snapToGrid w:val="0"/>
          <w:kern w:val="0"/>
          <w:sz w:val="32"/>
          <w:szCs w:val="32"/>
          <w:lang w:val="en-US" w:eastAsia="zh-CN"/>
        </w:rPr>
      </w:pPr>
      <w:r>
        <w:rPr>
          <w:rFonts w:hint="eastAsia" w:eastAsia="仿宋_GB2312" w:cs="仿宋_GB2312"/>
          <w:snapToGrid w:val="0"/>
          <w:kern w:val="0"/>
          <w:sz w:val="32"/>
          <w:szCs w:val="32"/>
          <w:lang w:eastAsia="zh-CN"/>
        </w:rPr>
        <w:t>注册单元划分应按照《医疗器械注册单元划分指导原则》</w:t>
      </w:r>
      <w:r>
        <w:rPr>
          <w:rFonts w:hint="eastAsia" w:eastAsia="仿宋_GB2312" w:cs="仿宋_GB2312"/>
          <w:snapToGrid w:val="0"/>
          <w:kern w:val="0"/>
          <w:sz w:val="32"/>
          <w:szCs w:val="32"/>
          <w:lang w:val="en-US" w:eastAsia="zh-CN"/>
        </w:rPr>
        <w:t>的</w:t>
      </w:r>
      <w:r>
        <w:rPr>
          <w:rFonts w:hint="eastAsia" w:eastAsia="仿宋_GB2312" w:cs="仿宋_GB2312"/>
          <w:snapToGrid w:val="0"/>
          <w:kern w:val="0"/>
          <w:sz w:val="32"/>
          <w:szCs w:val="32"/>
          <w:lang w:eastAsia="zh-CN"/>
        </w:rPr>
        <w:t>要求，注册单元划分着重考虑产品的技术原理、结构组成、性能指标及适用范围等因素。</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s="仿宋_GB2312"/>
          <w:snapToGrid w:val="0"/>
          <w:kern w:val="0"/>
          <w:sz w:val="32"/>
          <w:szCs w:val="32"/>
          <w:lang w:eastAsia="zh-CN"/>
        </w:rPr>
      </w:pPr>
      <w:r>
        <w:rPr>
          <w:rFonts w:hint="eastAsia" w:eastAsia="仿宋_GB2312" w:cs="仿宋_GB2312"/>
          <w:snapToGrid w:val="0"/>
          <w:kern w:val="0"/>
          <w:sz w:val="32"/>
          <w:szCs w:val="32"/>
          <w:lang w:val="en-US" w:eastAsia="zh-CN"/>
        </w:rPr>
        <w:t>a.</w:t>
      </w:r>
      <w:r>
        <w:rPr>
          <w:rFonts w:hint="eastAsia" w:eastAsia="仿宋_GB2312" w:cs="仿宋_GB2312"/>
          <w:snapToGrid w:val="0"/>
          <w:kern w:val="0"/>
          <w:sz w:val="32"/>
          <w:szCs w:val="32"/>
          <w:lang w:eastAsia="zh-CN"/>
        </w:rPr>
        <w:t>因灭菌方式不同导致产品性能指标不同时，原则上划分为不同注册单元。</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s="仿宋_GB2312"/>
          <w:snapToGrid w:val="0"/>
          <w:kern w:val="0"/>
          <w:sz w:val="32"/>
          <w:szCs w:val="32"/>
          <w:lang w:eastAsia="zh-CN"/>
        </w:rPr>
      </w:pPr>
      <w:r>
        <w:rPr>
          <w:rFonts w:hint="eastAsia" w:eastAsia="仿宋_GB2312" w:cs="仿宋_GB2312"/>
          <w:snapToGrid w:val="0"/>
          <w:kern w:val="0"/>
          <w:sz w:val="32"/>
          <w:szCs w:val="32"/>
          <w:lang w:val="en-US" w:eastAsia="zh-CN"/>
        </w:rPr>
        <w:t>b.因适用范围不同</w:t>
      </w:r>
      <w:r>
        <w:rPr>
          <w:rFonts w:hint="eastAsia" w:eastAsia="仿宋_GB2312" w:cs="仿宋_GB2312"/>
          <w:snapToGrid w:val="0"/>
          <w:kern w:val="0"/>
          <w:sz w:val="32"/>
          <w:szCs w:val="32"/>
          <w:lang w:eastAsia="zh-CN"/>
        </w:rPr>
        <w:t>，原则上划分为不同注册单元。</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s="仿宋_GB2312"/>
          <w:snapToGrid w:val="0"/>
          <w:kern w:val="0"/>
          <w:sz w:val="32"/>
          <w:szCs w:val="32"/>
          <w:lang w:val="en-US" w:eastAsia="zh-CN"/>
        </w:rPr>
      </w:pPr>
      <w:r>
        <w:rPr>
          <w:rFonts w:hint="eastAsia" w:eastAsia="仿宋_GB2312" w:cs="仿宋_GB2312"/>
          <w:snapToGrid w:val="0"/>
          <w:kern w:val="0"/>
          <w:sz w:val="32"/>
          <w:szCs w:val="32"/>
          <w:lang w:val="en-US" w:eastAsia="zh-CN"/>
        </w:rPr>
        <w:t>例：导管固定贴与创面敷贴，应划分为两个注册单元。</w:t>
      </w:r>
    </w:p>
    <w:p>
      <w:pPr>
        <w:pStyle w:val="4"/>
        <w:bidi w:val="0"/>
        <w:rPr>
          <w:rFonts w:hint="eastAsia"/>
          <w:lang w:val="en-US" w:eastAsia="zh-CN"/>
        </w:rPr>
      </w:pPr>
      <w:r>
        <w:rPr>
          <w:rFonts w:hint="eastAsia"/>
          <w:lang w:val="en-US" w:eastAsia="zh-CN"/>
        </w:rPr>
        <w:t>4.型号规格</w:t>
      </w:r>
    </w:p>
    <w:p>
      <w:pPr>
        <w:overflowPunct w:val="0"/>
        <w:autoSpaceDE w:val="0"/>
        <w:autoSpaceDN w:val="0"/>
        <w:spacing w:line="540" w:lineRule="exact"/>
        <w:ind w:firstLine="640" w:firstLineChars="200"/>
        <w:rPr>
          <w:rFonts w:hint="eastAsia" w:eastAsia="仿宋_GB2312"/>
          <w:snapToGrid w:val="0"/>
          <w:kern w:val="0"/>
          <w:sz w:val="32"/>
          <w:szCs w:val="32"/>
        </w:rPr>
      </w:pPr>
      <w:r>
        <w:rPr>
          <w:rFonts w:hint="eastAsia" w:eastAsia="仿宋_GB2312"/>
          <w:snapToGrid w:val="0"/>
          <w:kern w:val="0"/>
          <w:sz w:val="32"/>
          <w:szCs w:val="32"/>
        </w:rPr>
        <w:t>应明确申报产品的型号规格。</w:t>
      </w:r>
    </w:p>
    <w:p>
      <w:pPr>
        <w:pStyle w:val="4"/>
        <w:bidi w:val="0"/>
        <w:rPr>
          <w:rFonts w:hint="default"/>
          <w:lang w:val="en-US" w:eastAsia="zh-CN"/>
        </w:rPr>
      </w:pPr>
      <w:r>
        <w:rPr>
          <w:rFonts w:hint="eastAsia"/>
          <w:lang w:val="en-US" w:eastAsia="zh-CN"/>
        </w:rPr>
        <w:t>5.结构及组成</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仿宋" w:hAnsi="仿宋" w:eastAsia="仿宋" w:cs="仿宋"/>
          <w:color w:val="FF0000"/>
          <w:sz w:val="32"/>
          <w:szCs w:val="32"/>
          <w:lang w:val="en-US" w:eastAsia="zh-CN"/>
        </w:rPr>
      </w:pPr>
      <w:r>
        <w:rPr>
          <w:rFonts w:hint="eastAsia" w:eastAsia="仿宋_GB2312"/>
          <w:snapToGrid w:val="0"/>
          <w:kern w:val="0"/>
          <w:sz w:val="32"/>
          <w:szCs w:val="32"/>
        </w:rPr>
        <w:t>结构组成中部件名称应规范。各项文件中结构及组成应一致，产品部件编号顺序应一致。</w:t>
      </w:r>
    </w:p>
    <w:p>
      <w:pPr>
        <w:pStyle w:val="3"/>
        <w:bidi w:val="0"/>
        <w:rPr>
          <w:rFonts w:hint="eastAsia"/>
          <w:lang w:val="en-US" w:eastAsia="zh-CN"/>
        </w:rPr>
      </w:pPr>
      <w:r>
        <w:rPr>
          <w:rFonts w:hint="eastAsia"/>
          <w:lang w:eastAsia="zh-CN"/>
        </w:rPr>
        <w:t>（二）综述资料</w:t>
      </w:r>
    </w:p>
    <w:p>
      <w:pPr>
        <w:pStyle w:val="4"/>
        <w:bidi w:val="0"/>
        <w:rPr>
          <w:rFonts w:hint="default"/>
          <w:lang w:val="en-US" w:eastAsia="zh-CN"/>
        </w:rPr>
      </w:pPr>
      <w:r>
        <w:rPr>
          <w:rFonts w:hint="default"/>
          <w:lang w:val="en-US" w:eastAsia="zh-CN"/>
        </w:rPr>
        <w:t>1</w:t>
      </w:r>
      <w:r>
        <w:rPr>
          <w:rFonts w:hint="eastAsia"/>
          <w:lang w:val="en-US" w:eastAsia="zh-CN"/>
        </w:rPr>
        <w:t>.</w:t>
      </w:r>
      <w:r>
        <w:rPr>
          <w:rFonts w:hint="default"/>
          <w:lang w:val="en-US" w:eastAsia="zh-CN"/>
        </w:rPr>
        <w:t>概述</w:t>
      </w:r>
    </w:p>
    <w:p>
      <w:pPr>
        <w:keepNext w:val="0"/>
        <w:keepLines w:val="0"/>
        <w:pageBreakBefore w:val="0"/>
        <w:widowControl w:val="0"/>
        <w:kinsoku/>
        <w:wordWrap/>
        <w:topLinePunct w:val="0"/>
        <w:bidi w:val="0"/>
        <w:snapToGrid/>
        <w:spacing w:line="520" w:lineRule="exact"/>
        <w:ind w:firstLine="645"/>
        <w:textAlignment w:val="auto"/>
        <w:rPr>
          <w:rFonts w:hint="default" w:ascii="Times New Roman" w:hAnsi="Times New Roman" w:eastAsia="仿宋_GB2312" w:cs="Times New Roman"/>
          <w:snapToGrid w:val="0"/>
          <w:kern w:val="0"/>
          <w:sz w:val="32"/>
          <w:szCs w:val="32"/>
          <w:lang w:val="en-US" w:eastAsia="zh-CN"/>
        </w:rPr>
      </w:pPr>
      <w:r>
        <w:rPr>
          <w:rFonts w:hint="default" w:ascii="Times New Roman" w:hAnsi="Times New Roman" w:eastAsia="仿宋_GB2312" w:cs="Times New Roman"/>
          <w:snapToGrid w:val="0"/>
          <w:kern w:val="0"/>
          <w:sz w:val="32"/>
          <w:szCs w:val="32"/>
          <w:lang w:val="en-US" w:eastAsia="zh-CN"/>
        </w:rPr>
        <w:t>申请人应描述申报产品的管理类别、分类编码及名称的确定依据。</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lang w:val="en-US" w:eastAsia="zh-CN"/>
        </w:rPr>
      </w:pPr>
      <w:r>
        <w:rPr>
          <w:rFonts w:hint="eastAsia"/>
          <w:lang w:val="en-US" w:eastAsia="zh-CN"/>
        </w:rPr>
        <w:t>2.工作原理</w:t>
      </w:r>
    </w:p>
    <w:p>
      <w:pPr>
        <w:keepNext w:val="0"/>
        <w:keepLines w:val="0"/>
        <w:pageBreakBefore w:val="0"/>
        <w:widowControl w:val="0"/>
        <w:kinsoku/>
        <w:wordWrap/>
        <w:topLinePunct w:val="0"/>
        <w:bidi w:val="0"/>
        <w:snapToGrid/>
        <w:spacing w:line="520" w:lineRule="exact"/>
        <w:ind w:firstLine="645"/>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一般为通过薄膜或无纺布的隔离，吸收性敷垫吸收渗出液的过程，为非慢性性创面提供愈合环境、起到与外界隔离的作用。其粘贴、吸收渗液的机理如下：</w:t>
      </w:r>
    </w:p>
    <w:p>
      <w:pPr>
        <w:keepNext w:val="0"/>
        <w:keepLines w:val="0"/>
        <w:pageBreakBefore w:val="0"/>
        <w:widowControl w:val="0"/>
        <w:kinsoku/>
        <w:wordWrap/>
        <w:topLinePunct w:val="0"/>
        <w:bidi w:val="0"/>
        <w:snapToGrid/>
        <w:spacing w:line="520" w:lineRule="exact"/>
        <w:ind w:firstLine="645"/>
        <w:textAlignment w:val="auto"/>
        <w:rPr>
          <w:rFonts w:hint="eastAsia" w:ascii="Times New Roman" w:hAnsi="Times New Roman" w:eastAsia="仿宋_GB2312" w:cs="Times New Roman"/>
          <w:snapToGrid w:val="0"/>
          <w:kern w:val="0"/>
          <w:sz w:val="32"/>
          <w:szCs w:val="32"/>
          <w:lang w:val="en-US" w:eastAsia="zh-CN"/>
        </w:rPr>
      </w:pPr>
      <w:r>
        <w:rPr>
          <w:rFonts w:hint="eastAsia" w:eastAsia="仿宋_GB2312" w:cs="Times New Roman"/>
          <w:snapToGrid w:val="0"/>
          <w:kern w:val="0"/>
          <w:sz w:val="32"/>
          <w:szCs w:val="32"/>
          <w:lang w:val="en-US" w:eastAsia="zh-CN"/>
        </w:rPr>
        <w:t>a</w:t>
      </w:r>
      <w:r>
        <w:rPr>
          <w:rFonts w:hint="eastAsia" w:ascii="Times New Roman" w:hAnsi="Times New Roman" w:eastAsia="仿宋_GB2312" w:cs="Times New Roman"/>
          <w:snapToGrid w:val="0"/>
          <w:kern w:val="0"/>
          <w:sz w:val="32"/>
          <w:szCs w:val="32"/>
          <w:lang w:val="en-US" w:eastAsia="zh-CN"/>
        </w:rPr>
        <w:t>.粘贴：通常由PU、PP、PVC、PE、EVA等薄膜或无纺布涂敷医用压敏胶、丙烯酸粘胶等，通过胶的压力敏感粘附作用粘贴到皮肤表面。</w:t>
      </w:r>
    </w:p>
    <w:p>
      <w:pPr>
        <w:keepNext w:val="0"/>
        <w:keepLines w:val="0"/>
        <w:pageBreakBefore w:val="0"/>
        <w:widowControl w:val="0"/>
        <w:kinsoku/>
        <w:wordWrap/>
        <w:topLinePunct w:val="0"/>
        <w:bidi w:val="0"/>
        <w:snapToGrid/>
        <w:spacing w:line="520" w:lineRule="exact"/>
        <w:ind w:firstLine="645"/>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b.吸收：通过吸收性敷垫纤维的亲水性和纤维表面及内部贯通的毛细微孔吸收保存渗液。</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lang w:val="en-US" w:eastAsia="zh-CN"/>
        </w:rPr>
      </w:pPr>
      <w:r>
        <w:rPr>
          <w:rFonts w:hint="eastAsia"/>
          <w:lang w:val="en-US" w:eastAsia="zh-CN"/>
        </w:rPr>
        <w:t>3.结构组成</w:t>
      </w:r>
    </w:p>
    <w:p>
      <w:pPr>
        <w:keepNext w:val="0"/>
        <w:keepLines w:val="0"/>
        <w:pageBreakBefore w:val="0"/>
        <w:widowControl w:val="0"/>
        <w:kinsoku/>
        <w:wordWrap/>
        <w:topLinePunct w:val="0"/>
        <w:bidi w:val="0"/>
        <w:snapToGrid/>
        <w:spacing w:line="520" w:lineRule="exact"/>
        <w:ind w:firstLine="645"/>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非慢性创面敷贴通常由涂胶基材、吸收性敷垫、可剥离保护层组成，部分产品可具有防粘连层，其基本结构如图1、图2所示。其中吸收性敷垫一般采用可吸收渗出液的材料制成，所含成分不具有药理学作用，不可被人体吸收。吸收性敷垫（创口贴敷垫除外）可单独使用，用绷带或胶带等进行固定。无菌提供，一次性使用。</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lang w:val="en-US" w:eastAsia="zh-CN"/>
        </w:rPr>
        <w:t>（1）涂胶基材</w:t>
      </w:r>
    </w:p>
    <w:p>
      <w:pPr>
        <w:keepNext w:val="0"/>
        <w:keepLines w:val="0"/>
        <w:pageBreakBefore w:val="0"/>
        <w:widowControl w:val="0"/>
        <w:kinsoku/>
        <w:wordWrap/>
        <w:topLinePunct w:val="0"/>
        <w:bidi w:val="0"/>
        <w:snapToGrid/>
        <w:spacing w:line="520" w:lineRule="exact"/>
        <w:ind w:firstLine="645"/>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通常由涂有医用压敏胶、丙烯酸粘胶等的薄膜或无纺布制成，薄膜材质可为PU、PP、PVC、PE、EVA等，用于固定敷垫，粘敷皮肤表面。</w:t>
      </w:r>
    </w:p>
    <w:p>
      <w:pPr>
        <w:pStyle w:val="4"/>
        <w:bidi w:val="0"/>
        <w:rPr>
          <w:rFonts w:hint="eastAsia"/>
        </w:rPr>
      </w:pPr>
      <w:r>
        <w:rPr>
          <w:rFonts w:hint="eastAsia"/>
          <w:lang w:val="en-US" w:eastAsia="zh-CN"/>
        </w:rPr>
        <w:t>（2）吸收性敷垫</w:t>
      </w:r>
    </w:p>
    <w:p>
      <w:pPr>
        <w:keepNext w:val="0"/>
        <w:keepLines w:val="0"/>
        <w:pageBreakBefore w:val="0"/>
        <w:widowControl w:val="0"/>
        <w:kinsoku/>
        <w:wordWrap/>
        <w:topLinePunct w:val="0"/>
        <w:bidi w:val="0"/>
        <w:snapToGrid/>
        <w:spacing w:line="520" w:lineRule="exact"/>
        <w:ind w:firstLine="645"/>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通常由棉纤维、无纺布制成，不含药物成分，固定在涂胶基材上，用于吸收渗出液。</w:t>
      </w:r>
    </w:p>
    <w:p>
      <w:pPr>
        <w:pStyle w:val="4"/>
        <w:bidi w:val="0"/>
        <w:rPr>
          <w:rFonts w:hint="eastAsia"/>
          <w:lang w:val="en-US" w:eastAsia="zh-CN"/>
        </w:rPr>
      </w:pPr>
      <w:r>
        <w:rPr>
          <w:rFonts w:hint="eastAsia"/>
          <w:lang w:val="en-US" w:eastAsia="zh-CN"/>
        </w:rPr>
        <w:t>（3）防粘连层</w:t>
      </w:r>
    </w:p>
    <w:p>
      <w:pPr>
        <w:keepNext w:val="0"/>
        <w:keepLines w:val="0"/>
        <w:pageBreakBefore w:val="0"/>
        <w:widowControl w:val="0"/>
        <w:kinsoku/>
        <w:wordWrap/>
        <w:topLinePunct w:val="0"/>
        <w:bidi w:val="0"/>
        <w:snapToGrid/>
        <w:spacing w:line="520" w:lineRule="exact"/>
        <w:ind w:firstLine="645"/>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通常由一层防粘材料（如PE网膜、打孔膜等）制成，覆盖在敷垫的创面接触表面上，用于防止敷垫与创面粘连。</w:t>
      </w:r>
    </w:p>
    <w:p>
      <w:pPr>
        <w:pStyle w:val="4"/>
        <w:bidi w:val="0"/>
        <w:rPr>
          <w:rFonts w:hint="eastAsia"/>
          <w:lang w:val="en-US" w:eastAsia="zh-CN"/>
        </w:rPr>
      </w:pPr>
      <w:r>
        <w:rPr>
          <w:rFonts w:hint="eastAsia"/>
          <w:lang w:val="en-US" w:eastAsia="zh-CN"/>
        </w:rPr>
        <w:t>（4）可剥离保护层</w:t>
      </w:r>
      <w:r>
        <w:rPr>
          <w:rFonts w:hint="eastAsia"/>
          <w:lang w:val="en-US" w:eastAsia="zh-CN"/>
        </w:rPr>
        <w:tab/>
      </w:r>
    </w:p>
    <w:p>
      <w:pPr>
        <w:keepNext w:val="0"/>
        <w:keepLines w:val="0"/>
        <w:pageBreakBefore w:val="0"/>
        <w:widowControl w:val="0"/>
        <w:kinsoku/>
        <w:wordWrap/>
        <w:topLinePunct w:val="0"/>
        <w:bidi w:val="0"/>
        <w:snapToGrid/>
        <w:spacing w:line="520" w:lineRule="exact"/>
        <w:ind w:firstLine="645"/>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通常由格拉辛纸、PE膜或PET膜等制成，覆盖在涂胶基材上，使用前揭除，用于保护敷贴不受破坏。</w:t>
      </w:r>
    </w:p>
    <w:p>
      <w:pPr>
        <w:spacing w:line="560" w:lineRule="exact"/>
        <w:ind w:firstLine="560" w:firstLineChars="200"/>
        <w:jc w:val="center"/>
        <w:rPr>
          <w:rFonts w:hint="eastAsia" w:ascii="楷体" w:hAnsi="楷体" w:eastAsia="楷体"/>
          <w:bCs/>
          <w:sz w:val="32"/>
          <w:szCs w:val="32"/>
          <w:lang w:val="en-US" w:eastAsia="zh-CN"/>
        </w:rPr>
      </w:pPr>
      <w:r>
        <w:rPr>
          <w:sz w:val="28"/>
        </w:rPr>
        <w:pict>
          <v:shape id="_x0000_s1094" o:spid="_x0000_s1094" o:spt="202" type="#_x0000_t202" style="position:absolute;left:0pt;margin-left:97.25pt;margin-top:187.2pt;height:21.45pt;width:233pt;z-index:251661312;mso-width-relative:page;mso-height-relative:page;" fillcolor="#FFFFFF" filled="t" stroked="f" coordsize="21600,21600">
            <v:path/>
            <v:fill on="t" color2="#FFFFFF" focussize="0,0"/>
            <v:stroke on="f"/>
            <v:imagedata o:title=""/>
            <o:lock v:ext="edit" aspectratio="f"/>
            <v:textbox>
              <w:txbxContent>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1-可剥离保护层  2-吸收性敷垫 3-涂胶基材</w:t>
                  </w:r>
                </w:p>
              </w:txbxContent>
            </v:textbox>
          </v:shape>
        </w:pict>
      </w:r>
      <w:r>
        <w:drawing>
          <wp:anchor distT="0" distB="0" distL="114935" distR="114935" simplePos="0" relativeHeight="251659264" behindDoc="0" locked="0" layoutInCell="1" allowOverlap="1">
            <wp:simplePos x="0" y="0"/>
            <wp:positionH relativeFrom="column">
              <wp:posOffset>1910715</wp:posOffset>
            </wp:positionH>
            <wp:positionV relativeFrom="paragraph">
              <wp:posOffset>236855</wp:posOffset>
            </wp:positionV>
            <wp:extent cx="1713230" cy="1800225"/>
            <wp:effectExtent l="0" t="0" r="1270" b="9525"/>
            <wp:wrapTopAndBottom/>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1713230" cy="1800225"/>
                    </a:xfrm>
                    <a:prstGeom prst="rect">
                      <a:avLst/>
                    </a:prstGeom>
                    <a:noFill/>
                    <a:ln>
                      <a:noFill/>
                    </a:ln>
                  </pic:spPr>
                </pic:pic>
              </a:graphicData>
            </a:graphic>
          </wp:anchor>
        </w:drawing>
      </w:r>
    </w:p>
    <w:p>
      <w:pPr>
        <w:spacing w:line="560" w:lineRule="exact"/>
        <w:ind w:firstLine="0" w:firstLineChars="0"/>
        <w:rPr>
          <w:rFonts w:hint="eastAsia" w:ascii="楷体" w:hAnsi="楷体" w:eastAsia="楷体"/>
          <w:bCs/>
          <w:sz w:val="32"/>
          <w:szCs w:val="32"/>
          <w:lang w:val="en-US" w:eastAsia="zh-CN"/>
        </w:rPr>
      </w:pPr>
    </w:p>
    <w:p>
      <w:pPr>
        <w:spacing w:line="560" w:lineRule="exact"/>
        <w:jc w:val="center"/>
        <w:rPr>
          <w:rFonts w:hint="default" w:ascii="楷体" w:hAnsi="楷体" w:eastAsia="楷体"/>
          <w:bCs/>
          <w:sz w:val="32"/>
          <w:szCs w:val="32"/>
          <w:lang w:val="en-US" w:eastAsia="zh-CN"/>
        </w:rPr>
      </w:pPr>
      <w:r>
        <w:rPr>
          <w:rFonts w:hint="eastAsia" w:ascii="黑体" w:hAnsi="黑体" w:eastAsia="黑体" w:cs="黑体"/>
          <w:bCs/>
          <w:sz w:val="28"/>
          <w:szCs w:val="28"/>
          <w:lang w:val="en-US" w:eastAsia="zh-CN"/>
        </w:rPr>
        <w:t>图1</w:t>
      </w:r>
      <w:r>
        <w:rPr>
          <w:rFonts w:hint="eastAsia" w:ascii="楷体" w:hAnsi="楷体" w:eastAsia="楷体"/>
          <w:bCs/>
          <w:sz w:val="32"/>
          <w:szCs w:val="32"/>
          <w:lang w:val="en-US" w:eastAsia="zh-CN"/>
        </w:rPr>
        <w:t xml:space="preserve"> </w:t>
      </w:r>
    </w:p>
    <w:p>
      <w:pPr>
        <w:tabs>
          <w:tab w:val="center" w:pos="4422"/>
        </w:tabs>
        <w:spacing w:line="560" w:lineRule="exact"/>
        <w:rPr>
          <w:rFonts w:hint="eastAsia" w:ascii="黑体" w:hAnsi="黑体" w:eastAsia="黑体" w:cs="黑体"/>
          <w:bCs/>
          <w:sz w:val="28"/>
          <w:szCs w:val="28"/>
          <w:lang w:val="en-US" w:eastAsia="zh-CN"/>
        </w:rPr>
      </w:pPr>
      <w:r>
        <w:rPr>
          <w:sz w:val="28"/>
        </w:rPr>
        <w:pict>
          <v:shape id="_x0000_s1095" o:spid="_x0000_s1095" o:spt="202" type="#_x0000_t202" style="position:absolute;left:0pt;margin-left:72.9pt;margin-top:178.65pt;height:21.45pt;width:287.05pt;z-index:251662336;mso-width-relative:page;mso-height-relative:page;" fillcolor="#FFFFFF" filled="t" stroked="f" coordsize="21600,21600">
            <v:path/>
            <v:fill on="t" color2="#FFFFFF" focussize="0,0"/>
            <v:stroke on="f"/>
            <v:imagedata o:title=""/>
            <o:lock v:ext="edit" aspectratio="f"/>
            <v:textbox>
              <w:txbxContent>
                <w:p>
                  <w:pPr>
                    <w:rPr>
                      <w:rFonts w:hint="eastAsia" w:ascii="仿宋" w:hAnsi="仿宋" w:eastAsia="仿宋" w:cs="仿宋"/>
                      <w:lang w:val="en-US" w:eastAsia="zh-CN"/>
                    </w:rPr>
                  </w:pPr>
                  <w:r>
                    <w:rPr>
                      <w:rFonts w:hint="eastAsia" w:ascii="仿宋" w:hAnsi="仿宋" w:eastAsia="仿宋" w:cs="仿宋"/>
                      <w:lang w:val="en-US" w:eastAsia="zh-CN"/>
                    </w:rPr>
                    <w:t>1、5-可剥离保护层  2-防粘连层 3-吸收性敷垫 4-涂胶基材</w:t>
                  </w:r>
                </w:p>
              </w:txbxContent>
            </v:textbox>
          </v:shape>
        </w:pict>
      </w:r>
      <w:r>
        <w:rPr>
          <w:rFonts w:hint="eastAsia" w:ascii="仿宋" w:hAnsi="仿宋" w:eastAsia="仿宋"/>
          <w:sz w:val="28"/>
          <w:szCs w:val="28"/>
          <w:lang w:val="en-US" w:eastAsia="zh-CN"/>
        </w:rPr>
        <w:drawing>
          <wp:anchor distT="0" distB="0" distL="114935" distR="114935" simplePos="0" relativeHeight="251660288" behindDoc="0" locked="0" layoutInCell="1" allowOverlap="1">
            <wp:simplePos x="0" y="0"/>
            <wp:positionH relativeFrom="column">
              <wp:posOffset>1989455</wp:posOffset>
            </wp:positionH>
            <wp:positionV relativeFrom="paragraph">
              <wp:posOffset>175260</wp:posOffset>
            </wp:positionV>
            <wp:extent cx="1468120" cy="1800225"/>
            <wp:effectExtent l="0" t="0" r="17780" b="9525"/>
            <wp:wrapTopAndBottom/>
            <wp:docPr id="1" name="图片 1" descr="9f8c53e929ef27c34e3f65c14aa7d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f8c53e929ef27c34e3f65c14aa7d86"/>
                    <pic:cNvPicPr>
                      <a:picLocks noChangeAspect="1"/>
                    </pic:cNvPicPr>
                  </pic:nvPicPr>
                  <pic:blipFill>
                    <a:blip r:embed="rId6"/>
                    <a:stretch>
                      <a:fillRect/>
                    </a:stretch>
                  </pic:blipFill>
                  <pic:spPr>
                    <a:xfrm>
                      <a:off x="0" y="0"/>
                      <a:ext cx="1468120" cy="1800225"/>
                    </a:xfrm>
                    <a:prstGeom prst="rect">
                      <a:avLst/>
                    </a:prstGeom>
                  </pic:spPr>
                </pic:pic>
              </a:graphicData>
            </a:graphic>
          </wp:anchor>
        </w:drawing>
      </w:r>
    </w:p>
    <w:p>
      <w:pPr>
        <w:spacing w:line="560" w:lineRule="exact"/>
        <w:jc w:val="center"/>
        <w:rPr>
          <w:rFonts w:hint="eastAsia" w:ascii="黑体" w:hAnsi="黑体" w:eastAsia="黑体" w:cs="黑体"/>
          <w:bCs/>
          <w:sz w:val="28"/>
          <w:szCs w:val="28"/>
          <w:lang w:val="en-US" w:eastAsia="zh-CN"/>
        </w:rPr>
      </w:pPr>
    </w:p>
    <w:p>
      <w:pPr>
        <w:spacing w:line="560" w:lineRule="exact"/>
        <w:jc w:val="center"/>
        <w:rPr>
          <w:rFonts w:hint="eastAsia" w:ascii="黑体" w:hAnsi="黑体" w:eastAsia="黑体" w:cs="黑体"/>
          <w:bCs/>
          <w:sz w:val="28"/>
          <w:szCs w:val="28"/>
          <w:lang w:val="en-US" w:eastAsia="zh-CN"/>
        </w:rPr>
      </w:pPr>
      <w:r>
        <w:rPr>
          <w:rFonts w:hint="eastAsia" w:ascii="黑体" w:hAnsi="黑体" w:eastAsia="黑体" w:cs="黑体"/>
          <w:bCs/>
          <w:sz w:val="28"/>
          <w:szCs w:val="28"/>
          <w:lang w:val="en-US" w:eastAsia="zh-CN"/>
        </w:rPr>
        <w:t>图2</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val="en-US" w:eastAsia="zh-CN"/>
        </w:rPr>
        <w:t>、包装说明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应提供有关产品包装的信息，如描述产品包装的材料，说明包装清单和包装方式，提供包装图示等。如有配件，还应提供与该产品一起销售的配件包装情况。应当说明与灭菌方法相适应的最初包装的信息。</w:t>
      </w:r>
    </w:p>
    <w:p>
      <w:pPr>
        <w:pStyle w:val="4"/>
        <w:keepNext w:val="0"/>
        <w:keepLines w:val="0"/>
        <w:pageBreakBefore w:val="0"/>
        <w:widowControl w:val="0"/>
        <w:kinsoku/>
        <w:wordWrap/>
        <w:topLinePunct w:val="0"/>
        <w:bidi w:val="0"/>
        <w:snapToGrid/>
        <w:spacing w:line="520" w:lineRule="exact"/>
        <w:textAlignment w:val="auto"/>
        <w:rPr>
          <w:rFonts w:hint="eastAsia"/>
          <w:lang w:val="en-US" w:eastAsia="zh-CN"/>
        </w:rPr>
      </w:pPr>
      <w:r>
        <w:rPr>
          <w:rFonts w:hint="eastAsia"/>
          <w:lang w:val="en-US" w:eastAsia="zh-CN"/>
        </w:rPr>
        <w:t>5.适用范围</w:t>
      </w:r>
    </w:p>
    <w:p>
      <w:pPr>
        <w:pStyle w:val="4"/>
        <w:keepNext w:val="0"/>
        <w:keepLines w:val="0"/>
        <w:pageBreakBefore w:val="0"/>
        <w:widowControl w:val="0"/>
        <w:kinsoku/>
        <w:wordWrap/>
        <w:topLinePunct w:val="0"/>
        <w:bidi w:val="0"/>
        <w:snapToGrid/>
        <w:spacing w:line="520" w:lineRule="exact"/>
        <w:textAlignment w:val="auto"/>
        <w:rPr>
          <w:rFonts w:hint="eastAsia"/>
          <w:lang w:val="en-US" w:eastAsia="zh-CN"/>
        </w:rPr>
      </w:pPr>
      <w:r>
        <w:rPr>
          <w:rFonts w:hint="eastAsia"/>
        </w:rPr>
        <w:t>（1）</w:t>
      </w:r>
      <w:r>
        <w:t>适用范围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创面敷贴类产品的适用范围可按三种形式描述：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a</w:t>
      </w:r>
      <w:r>
        <w:rPr>
          <w:rFonts w:hint="eastAsia" w:ascii="Times New Roman" w:hAnsi="Times New Roman" w:eastAsia="仿宋_GB2312" w:cs="Times New Roman"/>
          <w:color w:val="000000"/>
          <w:sz w:val="32"/>
          <w:szCs w:val="32"/>
          <w:lang w:val="en-US" w:eastAsia="zh-CN"/>
        </w:rPr>
        <w:t>.用于体表非慢性创面的护理。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b</w:t>
      </w:r>
      <w:r>
        <w:rPr>
          <w:rFonts w:hint="eastAsia" w:ascii="Times New Roman" w:hAnsi="Times New Roman" w:eastAsia="仿宋_GB2312" w:cs="Times New Roman"/>
          <w:color w:val="000000"/>
          <w:sz w:val="32"/>
          <w:szCs w:val="32"/>
          <w:lang w:val="en-US" w:eastAsia="zh-CN"/>
        </w:rPr>
        <w:t>.用于对穿刺器械的穿刺部位的护理并固定穿刺器械。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c</w:t>
      </w:r>
      <w:r>
        <w:rPr>
          <w:rFonts w:hint="eastAsia" w:ascii="Times New Roman" w:hAnsi="Times New Roman" w:eastAsia="仿宋_GB2312" w:cs="Times New Roman"/>
          <w:color w:val="000000"/>
          <w:sz w:val="32"/>
          <w:szCs w:val="32"/>
          <w:lang w:val="en-US" w:eastAsia="zh-CN"/>
        </w:rPr>
        <w:t>.供手术、外伤创面或留置动、静脉导管贴敷用。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创口贴类产品的适用范围：用于小创口、擦伤、切割伤等浅表性创面的护理。</w:t>
      </w:r>
    </w:p>
    <w:p>
      <w:pPr>
        <w:pStyle w:val="4"/>
        <w:keepNext w:val="0"/>
        <w:keepLines w:val="0"/>
        <w:pageBreakBefore w:val="0"/>
        <w:widowControl w:val="0"/>
        <w:kinsoku/>
        <w:wordWrap/>
        <w:topLinePunct w:val="0"/>
        <w:bidi w:val="0"/>
        <w:snapToGrid/>
        <w:spacing w:line="520" w:lineRule="exact"/>
        <w:textAlignment w:val="auto"/>
      </w:pPr>
      <w:r>
        <w:rPr>
          <w:rFonts w:hint="eastAsia"/>
        </w:rPr>
        <w:t>（2）</w:t>
      </w:r>
      <w:r>
        <w:t>预期使用环境</w:t>
      </w:r>
    </w:p>
    <w:p>
      <w:pPr>
        <w:keepNext w:val="0"/>
        <w:keepLines w:val="0"/>
        <w:pageBreakBefore w:val="0"/>
        <w:widowControl w:val="0"/>
        <w:kinsoku/>
        <w:wordWrap/>
        <w:overflowPunct w:val="0"/>
        <w:topLinePunct w:val="0"/>
        <w:autoSpaceDE w:val="0"/>
        <w:autoSpaceDN w:val="0"/>
        <w:bidi w:val="0"/>
        <w:snapToGrid/>
        <w:spacing w:line="520" w:lineRule="exact"/>
        <w:ind w:firstLine="640" w:firstLineChars="200"/>
        <w:textAlignment w:val="auto"/>
        <w:rPr>
          <w:rFonts w:eastAsia="仿宋_GB2312"/>
          <w:snapToGrid w:val="0"/>
          <w:kern w:val="0"/>
          <w:sz w:val="32"/>
          <w:szCs w:val="32"/>
        </w:rPr>
      </w:pPr>
      <w:r>
        <w:rPr>
          <w:rFonts w:eastAsia="仿宋_GB2312"/>
          <w:snapToGrid w:val="0"/>
          <w:kern w:val="0"/>
          <w:sz w:val="32"/>
          <w:szCs w:val="32"/>
        </w:rPr>
        <w:t>应明确设备使用场</w:t>
      </w:r>
      <w:r>
        <w:rPr>
          <w:rFonts w:hint="eastAsia" w:eastAsia="仿宋_GB2312"/>
          <w:snapToGrid w:val="0"/>
          <w:kern w:val="0"/>
          <w:sz w:val="32"/>
          <w:szCs w:val="32"/>
        </w:rPr>
        <w:t>所</w:t>
      </w:r>
      <w:r>
        <w:rPr>
          <w:rFonts w:eastAsia="仿宋_GB2312"/>
          <w:snapToGrid w:val="0"/>
          <w:kern w:val="0"/>
          <w:sz w:val="32"/>
          <w:szCs w:val="32"/>
        </w:rPr>
        <w:t>和使用环境要求。</w:t>
      </w:r>
    </w:p>
    <w:p>
      <w:pPr>
        <w:pStyle w:val="4"/>
        <w:keepNext w:val="0"/>
        <w:keepLines w:val="0"/>
        <w:pageBreakBefore w:val="0"/>
        <w:widowControl w:val="0"/>
        <w:kinsoku/>
        <w:wordWrap/>
        <w:topLinePunct w:val="0"/>
        <w:bidi w:val="0"/>
        <w:snapToGrid/>
        <w:spacing w:line="520" w:lineRule="exact"/>
        <w:textAlignment w:val="auto"/>
      </w:pPr>
      <w:r>
        <w:rPr>
          <w:rFonts w:hint="eastAsia"/>
        </w:rPr>
        <w:t>（3）</w:t>
      </w:r>
      <w:r>
        <w:t>适用人群</w:t>
      </w:r>
    </w:p>
    <w:p>
      <w:pPr>
        <w:keepNext w:val="0"/>
        <w:keepLines w:val="0"/>
        <w:pageBreakBefore w:val="0"/>
        <w:widowControl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rPr>
      </w:pPr>
      <w:r>
        <w:rPr>
          <w:rFonts w:hint="eastAsia" w:eastAsia="仿宋_GB2312"/>
          <w:snapToGrid w:val="0"/>
          <w:kern w:val="0"/>
          <w:sz w:val="32"/>
          <w:szCs w:val="32"/>
        </w:rPr>
        <w:t>应详述产品的适用人群</w:t>
      </w:r>
      <w:r>
        <w:rPr>
          <w:rFonts w:eastAsia="仿宋_GB2312"/>
          <w:snapToGrid w:val="0"/>
          <w:kern w:val="0"/>
          <w:sz w:val="32"/>
          <w:szCs w:val="32"/>
        </w:rPr>
        <w:t>。</w:t>
      </w:r>
    </w:p>
    <w:p>
      <w:pPr>
        <w:pStyle w:val="4"/>
        <w:keepNext w:val="0"/>
        <w:keepLines w:val="0"/>
        <w:pageBreakBefore w:val="0"/>
        <w:widowControl w:val="0"/>
        <w:kinsoku/>
        <w:wordWrap/>
        <w:topLinePunct w:val="0"/>
        <w:bidi w:val="0"/>
        <w:snapToGrid/>
        <w:spacing w:line="520" w:lineRule="exact"/>
        <w:textAlignment w:val="auto"/>
      </w:pPr>
      <w:r>
        <w:rPr>
          <w:rFonts w:hint="eastAsia"/>
        </w:rPr>
        <w:t>（4）</w:t>
      </w:r>
      <w:r>
        <w:t>禁忌症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snapToGrid w:val="0"/>
          <w:kern w:val="0"/>
          <w:sz w:val="32"/>
          <w:szCs w:val="32"/>
          <w:lang w:val="en-US" w:eastAsia="zh-CN"/>
        </w:rPr>
      </w:pPr>
      <w:r>
        <w:rPr>
          <w:rFonts w:eastAsia="仿宋_GB2312"/>
          <w:snapToGrid w:val="0"/>
          <w:kern w:val="0"/>
          <w:sz w:val="32"/>
          <w:szCs w:val="32"/>
        </w:rPr>
        <w:t>应说明产品临床应用的禁忌症</w:t>
      </w:r>
      <w:r>
        <w:rPr>
          <w:rFonts w:hint="eastAsia" w:eastAsia="仿宋_GB2312"/>
          <w:snapToGrid w:val="0"/>
          <w:kern w:val="0"/>
          <w:sz w:val="32"/>
          <w:szCs w:val="32"/>
          <w:lang w:eastAsia="zh-CN"/>
        </w:rPr>
        <w:t>，例如：对组成材料过敏者禁用。</w:t>
      </w:r>
    </w:p>
    <w:p>
      <w:pPr>
        <w:pStyle w:val="4"/>
        <w:keepNext w:val="0"/>
        <w:keepLines w:val="0"/>
        <w:pageBreakBefore w:val="0"/>
        <w:widowControl w:val="0"/>
        <w:kinsoku/>
        <w:wordWrap/>
        <w:topLinePunct w:val="0"/>
        <w:bidi w:val="0"/>
        <w:snapToGrid/>
        <w:spacing w:line="520" w:lineRule="exact"/>
        <w:textAlignment w:val="auto"/>
        <w:rPr>
          <w:rFonts w:hint="default"/>
          <w:lang w:val="en-US" w:eastAsia="zh-CN"/>
        </w:rPr>
      </w:pPr>
      <w:r>
        <w:rPr>
          <w:rFonts w:hint="eastAsia"/>
          <w:lang w:val="en-US" w:eastAsia="zh-CN"/>
        </w:rPr>
        <w:t>6.参考的同类产品情况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参考的同类产品或前代产品应当提供同类产品（国内外已上市）或前代产品（如有）的信息，阐述申请注册产品的研发背景和目的。对于同类产品，应当说明选择其作为研发参考的原因。申报产品应与已在中国境内上市的同类产品或前代产品进行对比分析，应结合《医疗器械临床评价技术指导原则》附件2申报产品与同品种医疗器械的对比项目，详述产品间差异，重点说明申报产品的新功能、新应用、新特点。</w:t>
      </w:r>
    </w:p>
    <w:p>
      <w:pPr>
        <w:pStyle w:val="4"/>
        <w:pageBreakBefore w:val="0"/>
        <w:widowControl w:val="0"/>
        <w:kinsoku/>
        <w:wordWrap/>
        <w:topLinePunct w:val="0"/>
        <w:bidi w:val="0"/>
        <w:snapToGrid/>
        <w:spacing w:line="520" w:lineRule="exact"/>
        <w:textAlignment w:val="auto"/>
        <w:rPr>
          <w:rFonts w:hint="eastAsia" w:eastAsia="仿宋"/>
          <w:lang w:eastAsia="zh-CN"/>
        </w:rPr>
      </w:pPr>
      <w:r>
        <w:rPr>
          <w:rFonts w:hint="eastAsia"/>
          <w:lang w:val="en-US" w:eastAsia="zh-CN"/>
        </w:rPr>
        <w:t>7.</w:t>
      </w:r>
      <w:r>
        <w:rPr>
          <w:rFonts w:hint="default"/>
        </w:rPr>
        <w:t>产品的不良事件</w:t>
      </w:r>
      <w:r>
        <w:rPr>
          <w:rFonts w:hint="eastAsia"/>
          <w:lang w:eastAsia="zh-CN"/>
        </w:rPr>
        <w:t>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非慢性创面敷贴产品在临床中出现的问题主要有：接触皮肤红肿、过敏等。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rPr>
        <w:t>申请人应跟踪整理产品的不良事件、召回、警戒等相关信息，并将其作为风险管理的输入资料，进行风险评估和控制。</w:t>
      </w:r>
    </w:p>
    <w:p>
      <w:pPr>
        <w:pStyle w:val="3"/>
        <w:pageBreakBefore w:val="0"/>
        <w:widowControl w:val="0"/>
        <w:numPr>
          <w:ilvl w:val="0"/>
          <w:numId w:val="1"/>
        </w:numPr>
        <w:kinsoku/>
        <w:wordWrap/>
        <w:topLinePunct w:val="0"/>
        <w:bidi w:val="0"/>
        <w:snapToGrid/>
        <w:spacing w:line="520" w:lineRule="exact"/>
        <w:textAlignment w:val="auto"/>
        <w:rPr>
          <w:rFonts w:hint="eastAsia"/>
          <w:lang w:eastAsia="zh-CN"/>
        </w:rPr>
      </w:pPr>
      <w:r>
        <w:rPr>
          <w:rFonts w:hint="eastAsia"/>
          <w:lang w:eastAsia="zh-CN"/>
        </w:rPr>
        <w:t>非临床评价资料</w:t>
      </w:r>
    </w:p>
    <w:p>
      <w:pPr>
        <w:pStyle w:val="4"/>
        <w:pageBreakBefore w:val="0"/>
        <w:widowControl w:val="0"/>
        <w:kinsoku/>
        <w:wordWrap/>
        <w:topLinePunct w:val="0"/>
        <w:bidi w:val="0"/>
        <w:snapToGrid/>
        <w:spacing w:line="520" w:lineRule="exact"/>
        <w:textAlignment w:val="auto"/>
        <w:rPr>
          <w:rFonts w:hint="default"/>
          <w:lang w:val="en-US" w:eastAsia="zh-CN"/>
        </w:rPr>
      </w:pPr>
      <w:r>
        <w:rPr>
          <w:rFonts w:hint="eastAsia"/>
          <w:lang w:val="en-US" w:eastAsia="zh-CN"/>
        </w:rPr>
        <w:t>1.研究资料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至少应包含如下内容：</w:t>
      </w:r>
    </w:p>
    <w:p>
      <w:pPr>
        <w:pStyle w:val="4"/>
        <w:pageBreakBefore w:val="0"/>
        <w:widowControl w:val="0"/>
        <w:kinsoku/>
        <w:wordWrap/>
        <w:topLinePunct w:val="0"/>
        <w:bidi w:val="0"/>
        <w:snapToGrid/>
        <w:spacing w:line="520" w:lineRule="exact"/>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原材料控制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说明原材料的选择依据，明确产品的起始材料，列明产品生产过程中由起始材料至终产品所需全部材料（包括添加剂、助剂等）的基本信息，如名称、供应商、符合的标准等。产品组成材料可以列表的形式提供，并与产品结构图示中标识的部件一一对应。若产品结构采用分层结构的</w:t>
      </w:r>
      <w:r>
        <w:rPr>
          <w:rFonts w:hint="eastAsia" w:ascii="Times New Roman" w:hAnsi="Times New Roman" w:eastAsia="仿宋_GB2312" w:cs="Times New Roman"/>
          <w:snapToGrid w:val="0"/>
          <w:kern w:val="0"/>
          <w:sz w:val="32"/>
          <w:szCs w:val="32"/>
          <w:lang w:val="en-US" w:eastAsia="zh-CN"/>
        </w:rPr>
        <w:t>,应逐层分别进行描述；</w:t>
      </w:r>
      <w:r>
        <w:rPr>
          <w:rFonts w:hint="eastAsia" w:ascii="Times New Roman" w:hAnsi="Times New Roman" w:eastAsia="仿宋_GB2312" w:cs="Times New Roman"/>
          <w:snapToGrid w:val="0"/>
          <w:kern w:val="0"/>
          <w:sz w:val="32"/>
          <w:szCs w:val="32"/>
          <w:lang w:eastAsia="zh-CN"/>
        </w:rPr>
        <w:t>若产品组成材料为混合物的，应明确各组分及其比例。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原材料应具有稳定的供货渠道以保证产品质量，可提供原材料生产厂家的资质证明及外购协议，所用原材料的质量控制标准和检验报告。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如遇到供应商声明因涉及机密等原因无法提供的，建议通过供应商医疗器械主文档登记的方式解决，或采用相关能够固化该信息的描述，如供应商固定的牌号/商品名。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val="en-US" w:eastAsia="zh-CN"/>
        </w:rPr>
        <w:t>对于首次应用于医疗器械的新材料，应提供该材料适合用于产品预期用途的相关研究资料等</w:t>
      </w:r>
      <w:r>
        <w:rPr>
          <w:rFonts w:hint="eastAsia" w:ascii="Times New Roman" w:hAnsi="Times New Roman" w:eastAsia="仿宋_GB2312" w:cs="Times New Roman"/>
          <w:snapToGrid w:val="0"/>
          <w:kern w:val="0"/>
          <w:sz w:val="32"/>
          <w:szCs w:val="32"/>
          <w:lang w:eastAsia="zh-CN"/>
        </w:rPr>
        <w:t>。</w:t>
      </w:r>
    </w:p>
    <w:p>
      <w:pPr>
        <w:pStyle w:val="4"/>
        <w:pageBreakBefore w:val="0"/>
        <w:widowControl w:val="0"/>
        <w:kinsoku/>
        <w:wordWrap/>
        <w:topLinePunct w:val="0"/>
        <w:bidi w:val="0"/>
        <w:snapToGrid/>
        <w:spacing w:line="520" w:lineRule="exact"/>
        <w:textAlignment w:val="auto"/>
      </w:pPr>
      <w:r>
        <w:rPr>
          <w:rFonts w:hint="eastAsia"/>
          <w:lang w:eastAsia="zh-CN"/>
        </w:rPr>
        <w:t>（</w:t>
      </w:r>
      <w:r>
        <w:rPr>
          <w:rFonts w:hint="eastAsia"/>
          <w:lang w:val="en-US" w:eastAsia="zh-CN"/>
        </w:rPr>
        <w:t>2</w:t>
      </w:r>
      <w:r>
        <w:rPr>
          <w:rFonts w:hint="eastAsia"/>
          <w:lang w:eastAsia="zh-CN"/>
        </w:rPr>
        <w:t>）</w:t>
      </w:r>
      <w:r>
        <w:t>产品性能研究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 xml:space="preserve">产品性能研究资料，应体现临床需求，结合实际临床使用情况，开展产品性能研究，提供具体的研究证据资料，应包括有效性、安全性指标以及与质量控制相关的其他指标的确定依据，所采用的标准或方法、采用的理由及理论基础。建议参考行业标准YY/T </w:t>
      </w:r>
      <w:r>
        <w:rPr>
          <w:rFonts w:hint="eastAsia" w:ascii="Times New Roman" w:hAnsi="Times New Roman" w:eastAsia="仿宋_GB2312" w:cs="Times New Roman"/>
          <w:snapToGrid w:val="0"/>
          <w:kern w:val="0"/>
          <w:sz w:val="32"/>
          <w:szCs w:val="32"/>
          <w:lang w:val="en-US" w:eastAsia="zh-CN"/>
        </w:rPr>
        <w:t>1627</w:t>
      </w:r>
      <w:r>
        <w:rPr>
          <w:rFonts w:hint="eastAsia" w:ascii="Times New Roman" w:hAnsi="Times New Roman" w:eastAsia="仿宋_GB2312" w:cs="Times New Roman"/>
          <w:snapToGrid w:val="0"/>
          <w:kern w:val="0"/>
          <w:sz w:val="32"/>
          <w:szCs w:val="32"/>
          <w:lang w:eastAsia="zh-CN"/>
        </w:rPr>
        <w:t>《急性创面用敷贴、创贴通用要求》，根据产品的性能特点，制定适合产品的技术指标并说明依据，技术指标未能完全覆盖，以下如有不适用条款（包括国家标准、行业标准要求），注册申请人在产品性能研究中必须说明理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申请人应考虑添加剂、助剂等物质的残留，非预期产物的潜在毒性等问题，必要时在产品技术要求中加以控制。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val="en-US" w:eastAsia="zh-CN"/>
        </w:rPr>
        <w:t>a.</w:t>
      </w:r>
      <w:r>
        <w:rPr>
          <w:rFonts w:hint="eastAsia" w:ascii="Times New Roman" w:hAnsi="Times New Roman" w:eastAsia="仿宋_GB2312" w:cs="Times New Roman"/>
          <w:snapToGrid w:val="0"/>
          <w:kern w:val="0"/>
          <w:sz w:val="32"/>
          <w:szCs w:val="32"/>
          <w:lang w:eastAsia="zh-CN"/>
        </w:rPr>
        <w:t>设计特征：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eastAsia="zh-CN"/>
        </w:rPr>
        <w:t>具体项目包括：</w:t>
      </w:r>
      <w:r>
        <w:rPr>
          <w:rFonts w:hint="eastAsia" w:ascii="Times New Roman" w:hAnsi="Times New Roman" w:eastAsia="仿宋_GB2312" w:cs="Times New Roman"/>
          <w:snapToGrid w:val="0"/>
          <w:kern w:val="0"/>
          <w:sz w:val="32"/>
          <w:szCs w:val="32"/>
          <w:lang w:val="en-US" w:eastAsia="zh-CN"/>
        </w:rPr>
        <w:t>外观、尺寸、离型层、胶贴边、吸收垫（偏移）。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产品性能指标中产品外观（异形）、尺寸（特定大小）的确定，应结合临床使用的情况，对异形、超大、超小尺寸的申报产品，应提供临床使用合理性的证据资料，可提供创面图片、采购合同等资料。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b.物理性能：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具体项目包括：</w:t>
      </w:r>
      <w:r>
        <w:rPr>
          <w:rFonts w:hint="eastAsia" w:ascii="Times New Roman" w:hAnsi="Times New Roman" w:eastAsia="仿宋_GB2312" w:cs="Times New Roman"/>
          <w:snapToGrid w:val="0"/>
          <w:kern w:val="0"/>
          <w:sz w:val="32"/>
          <w:szCs w:val="32"/>
          <w:lang w:val="en-US" w:eastAsia="zh-CN"/>
        </w:rPr>
        <w:t>持粘性、剥离强度、阻水性</w:t>
      </w:r>
      <w:r>
        <w:rPr>
          <w:rFonts w:hint="eastAsia" w:ascii="Times New Roman" w:hAnsi="Times New Roman" w:eastAsia="仿宋_GB2312" w:cs="Times New Roman"/>
          <w:snapToGrid w:val="0"/>
          <w:kern w:val="0"/>
          <w:sz w:val="32"/>
          <w:szCs w:val="32"/>
          <w:lang w:eastAsia="zh-CN"/>
        </w:rPr>
        <w:t>（声称具有阻水性）</w:t>
      </w:r>
      <w:r>
        <w:rPr>
          <w:rFonts w:hint="eastAsia" w:ascii="Times New Roman" w:hAnsi="Times New Roman" w:eastAsia="仿宋_GB2312" w:cs="Times New Roman"/>
          <w:snapToGrid w:val="0"/>
          <w:kern w:val="0"/>
          <w:sz w:val="32"/>
          <w:szCs w:val="32"/>
          <w:lang w:val="en-US" w:eastAsia="zh-CN"/>
        </w:rPr>
        <w:t>、水蒸气透过性</w:t>
      </w:r>
      <w:r>
        <w:rPr>
          <w:rFonts w:hint="eastAsia" w:ascii="Times New Roman" w:hAnsi="Times New Roman" w:eastAsia="仿宋_GB2312" w:cs="Times New Roman"/>
          <w:snapToGrid w:val="0"/>
          <w:kern w:val="0"/>
          <w:sz w:val="32"/>
          <w:szCs w:val="32"/>
          <w:lang w:eastAsia="zh-CN"/>
        </w:rPr>
        <w:t>（声称具有透水蒸气性）</w:t>
      </w:r>
      <w:r>
        <w:rPr>
          <w:rFonts w:hint="eastAsia" w:ascii="Times New Roman" w:hAnsi="Times New Roman" w:eastAsia="仿宋_GB2312" w:cs="Times New Roman"/>
          <w:snapToGrid w:val="0"/>
          <w:kern w:val="0"/>
          <w:sz w:val="32"/>
          <w:szCs w:val="32"/>
          <w:lang w:val="en-US" w:eastAsia="zh-CN"/>
        </w:rPr>
        <w:t>、舒适性</w:t>
      </w:r>
      <w:r>
        <w:rPr>
          <w:rFonts w:hint="eastAsia" w:ascii="Times New Roman" w:hAnsi="Times New Roman" w:eastAsia="仿宋_GB2312" w:cs="Times New Roman"/>
          <w:snapToGrid w:val="0"/>
          <w:kern w:val="0"/>
          <w:sz w:val="32"/>
          <w:szCs w:val="32"/>
          <w:lang w:eastAsia="zh-CN"/>
        </w:rPr>
        <w:t>（声称具有舒适性）</w:t>
      </w:r>
      <w:r>
        <w:rPr>
          <w:rFonts w:hint="eastAsia" w:ascii="Times New Roman" w:hAnsi="Times New Roman" w:eastAsia="仿宋_GB2312" w:cs="Times New Roman"/>
          <w:snapToGrid w:val="0"/>
          <w:kern w:val="0"/>
          <w:sz w:val="32"/>
          <w:szCs w:val="32"/>
          <w:lang w:val="en-US" w:eastAsia="zh-CN"/>
        </w:rPr>
        <w:t>、弹性</w:t>
      </w:r>
      <w:r>
        <w:rPr>
          <w:rFonts w:hint="eastAsia" w:ascii="Times New Roman" w:hAnsi="Times New Roman" w:eastAsia="仿宋_GB2312" w:cs="Times New Roman"/>
          <w:snapToGrid w:val="0"/>
          <w:kern w:val="0"/>
          <w:sz w:val="32"/>
          <w:szCs w:val="32"/>
          <w:lang w:eastAsia="zh-CN"/>
        </w:rPr>
        <w:t>（声称具有弹性）</w:t>
      </w:r>
      <w:r>
        <w:rPr>
          <w:rFonts w:hint="eastAsia" w:ascii="Times New Roman" w:hAnsi="Times New Roman" w:eastAsia="仿宋_GB2312" w:cs="Times New Roman"/>
          <w:snapToGrid w:val="0"/>
          <w:kern w:val="0"/>
          <w:sz w:val="32"/>
          <w:szCs w:val="32"/>
          <w:lang w:val="en-US" w:eastAsia="zh-CN"/>
        </w:rPr>
        <w:t>、</w:t>
      </w:r>
      <w:r>
        <w:rPr>
          <w:rFonts w:hint="eastAsia" w:ascii="Times New Roman" w:hAnsi="Times New Roman" w:eastAsia="仿宋_GB2312" w:cs="Times New Roman"/>
          <w:snapToGrid w:val="0"/>
          <w:kern w:val="0"/>
          <w:sz w:val="32"/>
          <w:szCs w:val="32"/>
          <w:lang w:eastAsia="zh-CN"/>
        </w:rPr>
        <w:t>液体吸收量。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c.化学性能：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eastAsia="zh-CN"/>
        </w:rPr>
        <w:t>具体项目包括：</w:t>
      </w:r>
      <w:r>
        <w:rPr>
          <w:rFonts w:hint="eastAsia" w:ascii="Times New Roman" w:hAnsi="Times New Roman" w:eastAsia="仿宋_GB2312" w:cs="Times New Roman"/>
          <w:snapToGrid w:val="0"/>
          <w:kern w:val="0"/>
          <w:sz w:val="32"/>
          <w:szCs w:val="32"/>
          <w:lang w:val="en-US" w:eastAsia="zh-CN"/>
        </w:rPr>
        <w:t>水中溶出物、酸碱度、表面活性物质、环氧乙烷残留量（环氧乙烷灭菌产品）。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d.生物性能：无菌。</w:t>
      </w:r>
    </w:p>
    <w:p>
      <w:pPr>
        <w:pStyle w:val="4"/>
        <w:keepNext w:val="0"/>
        <w:keepLines w:val="0"/>
        <w:pageBreakBefore w:val="0"/>
        <w:widowControl w:val="0"/>
        <w:kinsoku/>
        <w:wordWrap/>
        <w:overflowPunct/>
        <w:topLinePunct w:val="0"/>
        <w:bidi w:val="0"/>
        <w:snapToGrid/>
        <w:spacing w:line="520" w:lineRule="exact"/>
        <w:textAlignment w:val="auto"/>
      </w:pPr>
      <w:r>
        <w:rPr>
          <w:rFonts w:hint="eastAsia"/>
          <w:lang w:eastAsia="zh-CN"/>
        </w:rPr>
        <w:t>（</w:t>
      </w:r>
      <w:r>
        <w:rPr>
          <w:rFonts w:hint="eastAsia"/>
          <w:lang w:val="en-US" w:eastAsia="zh-CN"/>
        </w:rPr>
        <w:t>3</w:t>
      </w:r>
      <w:r>
        <w:rPr>
          <w:rFonts w:hint="eastAsia"/>
          <w:lang w:eastAsia="zh-CN"/>
        </w:rPr>
        <w:t>）</w:t>
      </w:r>
      <w:r>
        <w:t>生物相容性评价研究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按照GB/T 16886.1《医疗器械生物学评价 第1部分：风险管理过程中的评价与试验》、《关于印发医疗器械生物学评价和审查指南的通知》要求开展生物相容性评价，资料应当包括：</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a.生物相容性评价的依据、项目和方法。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 xml:space="preserve">b.产品所用材料的描述及与人体接触的性质。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c.实施或豁免生物学试验的理由和论证。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d.对于现有数据或试验结果的评价。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若开展生物学试验进行评价，在试验项目选择时应考虑产品累积使用的接触时间，至少进行细胞毒性、刺激或皮内反应、迟发型超敏反应性的生物学评价研究。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若开展申报产品与市售产品的等同性比较的方式进行生物相容性评价，应按照《关于印发医疗器械生物学评价和审查指南的通知》要求进行评价，应提供资料证明申报产品与已上市产品具有等同性。需要进行以下考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a.申请人需确认试验报告中的受试同类产品与申报产品在材料化学组成、各组成材料比例、产品物理结构、表面特性、生产工艺、灭菌方法、原材料供应商及技术规范、内包装材料(如适用)等任何可能影响生物相容性风险的因素均完全一致，并提供相关声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b.若受试品与申报产品在以上所列可能影响生物相容性风险的因素中存在不一致的情况，则需提供充分的理由和证据支持所提交的试验报告适用于申报产品，必要时补充相应的生物学评价资料，如可沥滤物分析及毒理学风险评定资料、相关生物学试验项目的补充试验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c.同类产品的生物学试验报告仅用于替代申报产品试验报告作为生物学评价的一部分，而不是替代申报产品的整体生物学评价报告。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若无法证明申报产品与已上市产品的等同性，可按照GB/T 16886.1的要求开展申报产品生物相容性试验予以评价。</w:t>
      </w:r>
    </w:p>
    <w:p>
      <w:pPr>
        <w:pStyle w:val="4"/>
        <w:pageBreakBefore w:val="0"/>
        <w:widowControl w:val="0"/>
        <w:kinsoku/>
        <w:wordWrap/>
        <w:topLinePunct w:val="0"/>
        <w:bidi w:val="0"/>
        <w:snapToGrid/>
        <w:spacing w:line="520" w:lineRule="exact"/>
        <w:textAlignment w:val="auto"/>
      </w:pPr>
      <w:r>
        <w:rPr>
          <w:rFonts w:hint="eastAsia"/>
          <w:lang w:eastAsia="zh-CN"/>
        </w:rPr>
        <w:t>（</w:t>
      </w:r>
      <w:r>
        <w:rPr>
          <w:rFonts w:hint="eastAsia"/>
          <w:lang w:val="en-US" w:eastAsia="zh-CN"/>
        </w:rPr>
        <w:t>4</w:t>
      </w:r>
      <w:r>
        <w:rPr>
          <w:rFonts w:hint="eastAsia"/>
          <w:lang w:eastAsia="zh-CN"/>
        </w:rPr>
        <w:t>）</w:t>
      </w:r>
      <w:r>
        <w:t>灭菌工艺研究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参考GB 18280.1《医疗保健产品灭菌 辐射 第1部分：医疗器械灭菌过程的开发、确认和常规控制要求》、GB 18279.1《医疗保健产品灭菌 环氧乙烷 第1部分：医疗器械灭菌过程的开发、确认和常规控制的要求》和GB/T 16886.7《医疗器械生物学评价第7部分：环氧乙烷灭菌残留量》等相应规定，提交产品包装及灭菌方法选择的依据，经过确认并进行常规控制，并应开展以下方面的确认：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a.产品与灭菌过程的适应性：应考察灭菌/灭菌方法等工艺过程对于非慢性创面敷贴的影响。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b.包装与灭菌过程的适应性。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c.应明确灭菌工艺（方法和参数）和无菌保证水平（SAL），并提供灭菌确认报告。无菌保证水平（SAL）应达到1×10-6。</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eastAsia="仿宋_GB2312" w:cs="Times New Roman"/>
          <w:snapToGrid w:val="0"/>
          <w:kern w:val="0"/>
          <w:sz w:val="32"/>
          <w:szCs w:val="32"/>
          <w:lang w:val="en-US" w:eastAsia="zh-CN"/>
        </w:rPr>
        <w:t>d</w:t>
      </w:r>
      <w:r>
        <w:rPr>
          <w:rFonts w:hint="eastAsia" w:ascii="Times New Roman" w:hAnsi="Times New Roman" w:eastAsia="仿宋_GB2312" w:cs="Times New Roman"/>
          <w:snapToGrid w:val="0"/>
          <w:kern w:val="0"/>
          <w:sz w:val="32"/>
          <w:szCs w:val="32"/>
          <w:lang w:val="en-US" w:eastAsia="zh-CN"/>
        </w:rPr>
        <w:t>.残留毒性：若灭菌使用的方法容易出现残留，如环氧乙烷灭菌，应当明确残留物信息及采取的处理方法，并提供环氧乙烷解析的研究资料。</w:t>
      </w:r>
    </w:p>
    <w:p>
      <w:pPr>
        <w:pStyle w:val="4"/>
        <w:pageBreakBefore w:val="0"/>
        <w:widowControl w:val="0"/>
        <w:kinsoku/>
        <w:wordWrap/>
        <w:topLinePunct w:val="0"/>
        <w:bidi w:val="0"/>
        <w:snapToGrid/>
        <w:spacing w:line="520" w:lineRule="exact"/>
        <w:textAlignment w:val="auto"/>
      </w:pPr>
      <w:r>
        <w:rPr>
          <w:rFonts w:hint="eastAsia"/>
          <w:lang w:val="en-US" w:eastAsia="zh-CN"/>
        </w:rPr>
        <w:t>（5）</w:t>
      </w:r>
      <w:r>
        <w:t>产品有效期和包装研究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a.有效期研究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有效期包括产品有效期和包装有效期。产品有效期验证可采用实时或加速老化的研究。实时老化的研究是唯一能够反映产品在规定储存条件下实际稳定性要求的方法，应遵循极限试验和过载试验原则。建议以加速老化试验来对产品效期进行先期研究和预测，并适时启动实时老化试验对产品效期做进一步的后续研究和确认。加速老化研究试验的具体要求可参考YY/T 0681和YY/T 0698系列标准、GB/T 19633</w:t>
      </w:r>
      <w:r>
        <w:rPr>
          <w:rFonts w:hint="eastAsia" w:eastAsia="仿宋_GB2312" w:cs="Times New Roman"/>
          <w:snapToGrid w:val="0"/>
          <w:kern w:val="0"/>
          <w:sz w:val="32"/>
          <w:szCs w:val="32"/>
          <w:lang w:val="en-US" w:eastAsia="zh-CN"/>
        </w:rPr>
        <w:t>系列标准</w:t>
      </w:r>
      <w:r>
        <w:rPr>
          <w:rFonts w:hint="eastAsia" w:ascii="Times New Roman" w:hAnsi="Times New Roman" w:eastAsia="仿宋_GB2312" w:cs="Times New Roman"/>
          <w:snapToGrid w:val="0"/>
          <w:kern w:val="0"/>
          <w:sz w:val="32"/>
          <w:szCs w:val="32"/>
          <w:lang w:val="en-US" w:eastAsia="zh-CN"/>
        </w:rPr>
        <w:t>。应重点关注时间逻辑和相应的加速老化试验项目，建议设计多个时间点，最后一个时间点应晚于选定有效期。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对于包装的有效期验证，所验证的包装材料应与送检样品的包装材质一致。在进行加速老化试验研究时应注意：产品选择的环境条件的老化机制应与宣称的运输储存条件下发生产品老化的机制一致。对于在加速老化研究中可能导致产品变性而不适于选择加速老化试验方法研究其包装的有效期验证，应以实时老化方法测定和验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b.包装及包装完整性研究</w:t>
      </w:r>
    </w:p>
    <w:p>
      <w:pPr>
        <w:pStyle w:val="8"/>
        <w:pageBreakBefore w:val="0"/>
        <w:widowControl w:val="0"/>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应提供在宣称的有效期内以及运输储存条件下，保持包装完整性的依据。包装验证资料应包括封口试验及包材对灭菌的适应性验证。</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产品包装验证可依据GB/T 19633系列标准对包装进行分析研究和评价。直接接触产品的包装材料的选择应至少考虑以下因素：包装材料的物理化学性能；包装材料的毒理学特性；包装材料与产品的适应性；包装材料与成型和密封过程的适应性；包装材料与灭菌或洁净控制过程的适应性；包装材料所能提供的物理、化学和微生物屏障保护；包装材料与使用者使用时的要求（如无菌开启）的适应性；包装材料与标签系统的适应性；包装材料与贮存运输过程的适应性。</w:t>
      </w:r>
    </w:p>
    <w:p>
      <w:pPr>
        <w:pStyle w:val="4"/>
        <w:pageBreakBefore w:val="0"/>
        <w:widowControl w:val="0"/>
        <w:kinsoku/>
        <w:wordWrap/>
        <w:topLinePunct w:val="0"/>
        <w:bidi w:val="0"/>
        <w:snapToGrid/>
        <w:spacing w:line="520" w:lineRule="exact"/>
        <w:textAlignment w:val="auto"/>
      </w:pPr>
      <w:r>
        <w:rPr>
          <w:rFonts w:hint="eastAsia"/>
          <w:lang w:val="en-US" w:eastAsia="zh-CN"/>
        </w:rPr>
        <w:t>（6）</w:t>
      </w:r>
      <w:r>
        <w:t>其他资料</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结合申报产品的特点，证明产品安全性、有效性的其他研究资料。如单独敷垫的非慢性创面敷贴，应提供配套使用的情况说明。</w:t>
      </w:r>
    </w:p>
    <w:p>
      <w:pPr>
        <w:pStyle w:val="4"/>
        <w:keepNext w:val="0"/>
        <w:keepLines w:val="0"/>
        <w:pageBreakBefore w:val="0"/>
        <w:kinsoku/>
        <w:wordWrap/>
        <w:topLinePunct w:val="0"/>
        <w:bidi w:val="0"/>
        <w:snapToGrid/>
        <w:spacing w:line="520" w:lineRule="exact"/>
        <w:textAlignment w:val="auto"/>
        <w:rPr>
          <w:rFonts w:hint="eastAsia"/>
          <w:lang w:val="en-US" w:eastAsia="zh-CN"/>
        </w:rPr>
      </w:pPr>
      <w:r>
        <w:rPr>
          <w:rFonts w:hint="eastAsia"/>
          <w:lang w:val="en-US" w:eastAsia="zh-CN"/>
        </w:rPr>
        <w:t>2.风险管理</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r>
        <w:rPr>
          <w:rFonts w:eastAsia="仿宋_GB2312"/>
          <w:snapToGrid w:val="0"/>
          <w:kern w:val="0"/>
          <w:sz w:val="32"/>
          <w:szCs w:val="32"/>
        </w:rPr>
        <w:t>应依据YY/T 0316《医疗器械风险管理对医疗器械的应用》</w:t>
      </w:r>
      <w:r>
        <w:rPr>
          <w:rFonts w:hint="eastAsia" w:eastAsia="仿宋_GB2312"/>
          <w:snapToGrid w:val="0"/>
          <w:kern w:val="0"/>
          <w:sz w:val="32"/>
          <w:szCs w:val="32"/>
        </w:rPr>
        <w:t>，</w:t>
      </w:r>
      <w:r>
        <w:rPr>
          <w:rFonts w:eastAsia="仿宋_GB2312"/>
          <w:snapToGrid w:val="0"/>
          <w:kern w:val="0"/>
          <w:sz w:val="32"/>
          <w:szCs w:val="32"/>
          <w:lang w:val="zh-CN"/>
        </w:rPr>
        <w:t>提供产品风险管理报告。</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rPr>
      </w:pPr>
      <w:r>
        <w:rPr>
          <w:rFonts w:eastAsia="仿宋_GB2312"/>
          <w:snapToGrid w:val="0"/>
          <w:kern w:val="0"/>
          <w:sz w:val="32"/>
          <w:szCs w:val="32"/>
          <w:lang w:val="zh-CN"/>
        </w:rPr>
        <w:t>申请人应重点说明：申报产品的研制阶段已对有关可能的危害及产生的风险进行了估计和评价，针对性地实施了降低风险的技术和管理方面的措施。产品性能测试对上述措施的有效性进行了部分验证，达到了通用和专用标准的要求。申请人对所有剩余风险进行了评价，全部达到可接受的水平。产品风险分析资料应为申请人关于产品安全性的承诺提供支持。</w:t>
      </w:r>
    </w:p>
    <w:p>
      <w:pPr>
        <w:overflowPunct w:val="0"/>
        <w:autoSpaceDE w:val="0"/>
        <w:autoSpaceDN w:val="0"/>
        <w:adjustRightInd w:val="0"/>
        <w:spacing w:line="560" w:lineRule="exact"/>
        <w:ind w:firstLine="640" w:firstLineChars="200"/>
        <w:rPr>
          <w:rFonts w:eastAsia="仿宋_GB2312"/>
          <w:snapToGrid w:val="0"/>
          <w:kern w:val="0"/>
          <w:sz w:val="32"/>
          <w:szCs w:val="32"/>
          <w:lang w:val="zh-CN"/>
        </w:rPr>
      </w:pPr>
      <w:r>
        <w:rPr>
          <w:rFonts w:eastAsia="仿宋_GB2312"/>
          <w:snapToGrid w:val="0"/>
          <w:kern w:val="0"/>
          <w:sz w:val="32"/>
          <w:szCs w:val="32"/>
          <w:lang w:val="zh-CN"/>
        </w:rPr>
        <w:t>风险管理报告一般包括以下内容：</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leftChars="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（1）</w:t>
      </w:r>
      <w:r>
        <w:rPr>
          <w:rFonts w:ascii="Times New Roman" w:hAnsi="Times New Roman" w:eastAsia="仿宋_GB2312"/>
          <w:snapToGrid w:val="0"/>
          <w:kern w:val="0"/>
          <w:sz w:val="32"/>
          <w:szCs w:val="32"/>
          <w:lang w:val="zh-CN"/>
        </w:rPr>
        <w:t>申报产品的风险管理组织。</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（2）</w:t>
      </w:r>
      <w:r>
        <w:rPr>
          <w:rFonts w:ascii="Times New Roman" w:hAnsi="Times New Roman" w:eastAsia="仿宋_GB2312"/>
          <w:snapToGrid w:val="0"/>
          <w:kern w:val="0"/>
          <w:sz w:val="32"/>
          <w:szCs w:val="32"/>
          <w:lang w:val="zh-CN"/>
        </w:rPr>
        <w:t>申报产品的组成。</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（3）</w:t>
      </w:r>
      <w:r>
        <w:rPr>
          <w:rFonts w:ascii="Times New Roman" w:hAnsi="Times New Roman" w:eastAsia="仿宋_GB2312"/>
          <w:snapToGrid w:val="0"/>
          <w:kern w:val="0"/>
          <w:sz w:val="32"/>
          <w:szCs w:val="32"/>
          <w:lang w:val="zh-CN"/>
        </w:rPr>
        <w:t>申报产品符合的安全标准。</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（4）</w:t>
      </w:r>
      <w:r>
        <w:rPr>
          <w:rFonts w:ascii="Times New Roman" w:hAnsi="Times New Roman" w:eastAsia="仿宋_GB2312"/>
          <w:snapToGrid w:val="0"/>
          <w:kern w:val="0"/>
          <w:sz w:val="32"/>
          <w:szCs w:val="32"/>
          <w:lang w:val="zh-CN"/>
        </w:rPr>
        <w:t>申报产品的预期用途，与安全性有关的特征的判定。</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（5）</w:t>
      </w:r>
      <w:r>
        <w:rPr>
          <w:rFonts w:ascii="Times New Roman" w:hAnsi="Times New Roman" w:eastAsia="仿宋_GB2312"/>
          <w:snapToGrid w:val="0"/>
          <w:kern w:val="0"/>
          <w:sz w:val="32"/>
          <w:szCs w:val="32"/>
          <w:lang w:val="zh-CN"/>
        </w:rPr>
        <w:t>对申报产品的可能危害作出判定。</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（6）</w:t>
      </w:r>
      <w:r>
        <w:rPr>
          <w:rFonts w:ascii="Times New Roman" w:hAnsi="Times New Roman" w:eastAsia="仿宋_GB2312"/>
          <w:snapToGrid w:val="0"/>
          <w:kern w:val="0"/>
          <w:sz w:val="32"/>
          <w:szCs w:val="32"/>
          <w:lang w:val="zh-CN"/>
        </w:rPr>
        <w:t>对所判定的危害采取的降低风险的控制措施</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left"/>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（7）</w:t>
      </w:r>
      <w:r>
        <w:rPr>
          <w:rFonts w:ascii="Times New Roman" w:hAnsi="Times New Roman" w:eastAsia="仿宋_GB2312"/>
          <w:snapToGrid w:val="0"/>
          <w:kern w:val="0"/>
          <w:sz w:val="32"/>
          <w:szCs w:val="32"/>
          <w:lang w:val="zh-CN"/>
        </w:rPr>
        <w:t>对采取控制措施后的剩余风险进行估计和评价，具体要求见附</w:t>
      </w:r>
      <w:r>
        <w:rPr>
          <w:rFonts w:hint="eastAsia" w:ascii="Times New Roman" w:hAnsi="Times New Roman" w:eastAsia="仿宋_GB2312"/>
          <w:snapToGrid w:val="0"/>
          <w:kern w:val="0"/>
          <w:sz w:val="32"/>
          <w:szCs w:val="32"/>
          <w:lang w:val="zh-CN"/>
        </w:rPr>
        <w:t>录</w:t>
      </w:r>
      <w:r>
        <w:rPr>
          <w:rFonts w:hint="eastAsia" w:ascii="Times New Roman" w:hAnsi="Times New Roman" w:eastAsia="仿宋_GB2312"/>
          <w:snapToGrid w:val="0"/>
          <w:kern w:val="0"/>
          <w:sz w:val="32"/>
          <w:szCs w:val="32"/>
          <w:lang w:val="en-US" w:eastAsia="zh-CN"/>
        </w:rPr>
        <w:t>A</w:t>
      </w:r>
      <w:r>
        <w:rPr>
          <w:rFonts w:ascii="Times New Roman" w:hAnsi="Times New Roman" w:eastAsia="仿宋_GB2312"/>
          <w:snapToGrid w:val="0"/>
          <w:kern w:val="0"/>
          <w:sz w:val="32"/>
          <w:szCs w:val="32"/>
          <w:lang w:val="zh-CN"/>
        </w:rPr>
        <w:t>。</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hint="eastAsia" w:ascii="Times New Roman" w:hAnsi="Times New Roman" w:eastAsia="宋体" w:cs="Times New Roman"/>
          <w:kern w:val="2"/>
          <w:sz w:val="21"/>
          <w:szCs w:val="24"/>
          <w:lang w:val="en-US" w:eastAsia="zh-CN" w:bidi="ar-SA"/>
        </w:rPr>
      </w:pPr>
      <w:r>
        <w:rPr>
          <w:rFonts w:hint="eastAsia" w:ascii="Times New Roman" w:hAnsi="Times New Roman" w:eastAsia="仿宋_GB2312"/>
          <w:snapToGrid w:val="0"/>
          <w:kern w:val="0"/>
          <w:sz w:val="32"/>
          <w:szCs w:val="32"/>
          <w:lang w:val="zh-CN"/>
        </w:rPr>
        <w:t>应提供采取风险控制措施前后的</w:t>
      </w:r>
      <w:r>
        <w:rPr>
          <w:rFonts w:hint="eastAsia" w:ascii="Times New Roman" w:hAnsi="Times New Roman" w:eastAsia="仿宋_GB2312"/>
          <w:snapToGrid w:val="0"/>
          <w:kern w:val="0"/>
          <w:sz w:val="32"/>
          <w:szCs w:val="32"/>
        </w:rPr>
        <w:t>风险矩阵表。</w:t>
      </w:r>
    </w:p>
    <w:p>
      <w:pPr>
        <w:pStyle w:val="4"/>
        <w:bidi w:val="0"/>
        <w:rPr>
          <w:rFonts w:hint="eastAsia"/>
        </w:rPr>
      </w:pPr>
      <w:r>
        <w:rPr>
          <w:rFonts w:hint="eastAsia"/>
          <w:lang w:val="en-US" w:eastAsia="zh-CN"/>
        </w:rPr>
        <w:t>3.</w:t>
      </w:r>
      <w:r>
        <w:rPr>
          <w:rFonts w:hint="eastAsia"/>
        </w:rPr>
        <w:t>产品技术要求的主要性能指标</w:t>
      </w:r>
    </w:p>
    <w:p>
      <w:pPr>
        <w:pStyle w:val="4"/>
        <w:bidi w:val="0"/>
        <w:rPr>
          <w:rFonts w:hint="eastAsia"/>
          <w:lang w:eastAsia="zh-CN"/>
        </w:rPr>
      </w:pPr>
      <w:r>
        <w:rPr>
          <w:rFonts w:hint="eastAsia"/>
          <w:lang w:eastAsia="zh-CN"/>
        </w:rPr>
        <w:t>（</w:t>
      </w:r>
      <w:r>
        <w:rPr>
          <w:rFonts w:hint="eastAsia"/>
          <w:lang w:val="en-US" w:eastAsia="zh-CN"/>
        </w:rPr>
        <w:t>1</w:t>
      </w:r>
      <w:r>
        <w:rPr>
          <w:rFonts w:hint="eastAsia"/>
          <w:lang w:eastAsia="zh-CN"/>
        </w:rPr>
        <w:t>）性能指标</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hint="eastAsia"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en-US" w:eastAsia="zh-CN"/>
        </w:rPr>
        <w:t>产品技术要求的制定应符合《医疗器械产品技术要求编写指导原则》的法规要求。申请人应根据产品的技术特征和临床使用情况来确定产品安全有效、质量可控的技术要求与检验方法。技术指标应不低于相关的国家标准或行业标准，如YY/T 1627《急性创面用敷贴、创贴通用要求》，产品技术要求中的试验方法均应为已验证的方法。若对标准中的试验方法有所修改，应说明修改的内容及原因，并提交验证资料。</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hint="eastAsia"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企业编制产品技术要求时应明确规格型号的划分等内容，常见的</w:t>
      </w:r>
      <w:r>
        <w:rPr>
          <w:rFonts w:hint="eastAsia" w:ascii="Times New Roman" w:hAnsi="Times New Roman" w:eastAsia="仿宋_GB2312"/>
          <w:snapToGrid w:val="0"/>
          <w:kern w:val="0"/>
          <w:sz w:val="32"/>
          <w:szCs w:val="32"/>
          <w:lang w:val="zh-CN" w:eastAsia="zh-CN"/>
        </w:rPr>
        <w:t>非慢性创面敷贴</w:t>
      </w:r>
      <w:r>
        <w:rPr>
          <w:rFonts w:hint="eastAsia" w:ascii="Times New Roman" w:hAnsi="Times New Roman" w:eastAsia="仿宋_GB2312"/>
          <w:snapToGrid w:val="0"/>
          <w:kern w:val="0"/>
          <w:sz w:val="32"/>
          <w:szCs w:val="32"/>
          <w:lang w:val="zh-CN"/>
        </w:rPr>
        <w:t>通用技术指标应有以下几点（包括但不限于此）：</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hint="eastAsia" w:ascii="Times New Roman" w:hAnsi="Times New Roman" w:eastAsia="仿宋_GB2312"/>
          <w:snapToGrid w:val="0"/>
          <w:kern w:val="0"/>
          <w:sz w:val="32"/>
          <w:szCs w:val="32"/>
          <w:lang w:val="en-US" w:eastAsia="zh-CN"/>
        </w:rPr>
      </w:pPr>
      <w:r>
        <w:rPr>
          <w:rFonts w:hint="eastAsia" w:eastAsia="仿宋_GB2312"/>
          <w:snapToGrid w:val="0"/>
          <w:kern w:val="0"/>
          <w:sz w:val="32"/>
          <w:szCs w:val="32"/>
          <w:lang w:val="en-US" w:eastAsia="zh-CN"/>
        </w:rPr>
        <w:t>a</w:t>
      </w:r>
      <w:r>
        <w:rPr>
          <w:rFonts w:hint="eastAsia" w:ascii="Times New Roman" w:hAnsi="Times New Roman" w:eastAsia="仿宋_GB2312"/>
          <w:snapToGrid w:val="0"/>
          <w:kern w:val="0"/>
          <w:sz w:val="32"/>
          <w:szCs w:val="32"/>
          <w:lang w:val="en-US" w:eastAsia="zh-CN"/>
        </w:rPr>
        <w:t>.</w:t>
      </w:r>
      <w:r>
        <w:rPr>
          <w:rFonts w:hint="eastAsia" w:ascii="Times New Roman" w:hAnsi="Times New Roman" w:eastAsia="仿宋_GB2312"/>
          <w:snapToGrid w:val="0"/>
          <w:kern w:val="0"/>
          <w:sz w:val="32"/>
          <w:szCs w:val="32"/>
          <w:lang w:val="zh-CN"/>
        </w:rPr>
        <w:t>设计</w:t>
      </w:r>
      <w:r>
        <w:rPr>
          <w:rFonts w:hint="eastAsia" w:ascii="Times New Roman" w:hAnsi="Times New Roman" w:eastAsia="仿宋_GB2312"/>
          <w:snapToGrid w:val="0"/>
          <w:kern w:val="0"/>
          <w:sz w:val="32"/>
          <w:szCs w:val="32"/>
          <w:lang w:val="zh-CN" w:eastAsia="zh-CN"/>
        </w:rPr>
        <w:t>要求：</w:t>
      </w:r>
      <w:r>
        <w:rPr>
          <w:rFonts w:hint="eastAsia" w:ascii="Times New Roman" w:hAnsi="Times New Roman" w:eastAsia="仿宋_GB2312"/>
          <w:snapToGrid w:val="0"/>
          <w:kern w:val="0"/>
          <w:sz w:val="32"/>
          <w:szCs w:val="32"/>
          <w:lang w:val="en-US" w:eastAsia="zh-CN"/>
        </w:rPr>
        <w:t>外观、尺寸、离型层、胶贴边、吸收垫（偏移）。</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hint="eastAsia" w:ascii="Times New Roman" w:hAnsi="Times New Roman" w:eastAsia="仿宋_GB2312"/>
          <w:snapToGrid w:val="0"/>
          <w:kern w:val="0"/>
          <w:sz w:val="32"/>
          <w:szCs w:val="32"/>
          <w:lang w:val="zh-CN" w:eastAsia="zh-CN"/>
        </w:rPr>
      </w:pPr>
      <w:r>
        <w:rPr>
          <w:rFonts w:hint="eastAsia" w:eastAsia="仿宋_GB2312"/>
          <w:snapToGrid w:val="0"/>
          <w:kern w:val="0"/>
          <w:sz w:val="32"/>
          <w:szCs w:val="32"/>
          <w:lang w:val="en-US" w:eastAsia="zh-CN"/>
        </w:rPr>
        <w:t>b</w:t>
      </w:r>
      <w:r>
        <w:rPr>
          <w:rFonts w:hint="eastAsia" w:ascii="Times New Roman" w:hAnsi="Times New Roman" w:eastAsia="仿宋_GB2312"/>
          <w:snapToGrid w:val="0"/>
          <w:kern w:val="0"/>
          <w:sz w:val="32"/>
          <w:szCs w:val="32"/>
          <w:lang w:val="en-US" w:eastAsia="zh-CN"/>
        </w:rPr>
        <w:t>.物理性能：持粘性、剥离强度、阻水性</w:t>
      </w:r>
      <w:r>
        <w:rPr>
          <w:rFonts w:hint="eastAsia" w:ascii="Times New Roman" w:hAnsi="Times New Roman" w:eastAsia="仿宋_GB2312"/>
          <w:snapToGrid w:val="0"/>
          <w:kern w:val="0"/>
          <w:sz w:val="32"/>
          <w:szCs w:val="32"/>
          <w:lang w:val="zh-CN"/>
        </w:rPr>
        <w:t>（</w:t>
      </w:r>
      <w:r>
        <w:rPr>
          <w:rFonts w:hint="eastAsia" w:ascii="Times New Roman" w:hAnsi="Times New Roman" w:eastAsia="仿宋_GB2312"/>
          <w:snapToGrid w:val="0"/>
          <w:kern w:val="0"/>
          <w:sz w:val="32"/>
          <w:szCs w:val="32"/>
          <w:lang w:val="zh-CN" w:eastAsia="zh-CN"/>
        </w:rPr>
        <w:t>声称</w:t>
      </w:r>
      <w:r>
        <w:rPr>
          <w:rFonts w:hint="eastAsia" w:ascii="Times New Roman" w:hAnsi="Times New Roman" w:eastAsia="仿宋_GB2312"/>
          <w:snapToGrid w:val="0"/>
          <w:kern w:val="0"/>
          <w:sz w:val="32"/>
          <w:szCs w:val="32"/>
          <w:lang w:val="zh-CN"/>
        </w:rPr>
        <w:t>具有阻水</w:t>
      </w:r>
      <w:r>
        <w:rPr>
          <w:rFonts w:hint="eastAsia" w:ascii="Times New Roman" w:hAnsi="Times New Roman" w:eastAsia="仿宋_GB2312"/>
          <w:snapToGrid w:val="0"/>
          <w:kern w:val="0"/>
          <w:sz w:val="32"/>
          <w:szCs w:val="32"/>
          <w:lang w:val="zh-CN" w:eastAsia="zh-CN"/>
        </w:rPr>
        <w:t>性</w:t>
      </w:r>
      <w:r>
        <w:rPr>
          <w:rFonts w:hint="eastAsia" w:ascii="Times New Roman" w:hAnsi="Times New Roman" w:eastAsia="仿宋_GB2312"/>
          <w:snapToGrid w:val="0"/>
          <w:kern w:val="0"/>
          <w:sz w:val="32"/>
          <w:szCs w:val="32"/>
          <w:lang w:val="zh-CN"/>
        </w:rPr>
        <w:t>）</w:t>
      </w:r>
      <w:r>
        <w:rPr>
          <w:rFonts w:hint="eastAsia" w:ascii="Times New Roman" w:hAnsi="Times New Roman" w:eastAsia="仿宋_GB2312"/>
          <w:snapToGrid w:val="0"/>
          <w:kern w:val="0"/>
          <w:sz w:val="32"/>
          <w:szCs w:val="32"/>
          <w:lang w:val="en-US" w:eastAsia="zh-CN"/>
        </w:rPr>
        <w:t>、水蒸气透过性</w:t>
      </w:r>
      <w:r>
        <w:rPr>
          <w:rFonts w:hint="eastAsia" w:ascii="Times New Roman" w:hAnsi="Times New Roman" w:eastAsia="仿宋_GB2312"/>
          <w:snapToGrid w:val="0"/>
          <w:kern w:val="0"/>
          <w:sz w:val="32"/>
          <w:szCs w:val="32"/>
          <w:lang w:val="zh-CN"/>
        </w:rPr>
        <w:t>（</w:t>
      </w:r>
      <w:r>
        <w:rPr>
          <w:rFonts w:hint="eastAsia" w:ascii="Times New Roman" w:hAnsi="Times New Roman" w:eastAsia="仿宋_GB2312"/>
          <w:snapToGrid w:val="0"/>
          <w:kern w:val="0"/>
          <w:sz w:val="32"/>
          <w:szCs w:val="32"/>
          <w:lang w:val="zh-CN" w:eastAsia="zh-CN"/>
        </w:rPr>
        <w:t>声称具</w:t>
      </w:r>
      <w:r>
        <w:rPr>
          <w:rFonts w:hint="eastAsia" w:ascii="Times New Roman" w:hAnsi="Times New Roman" w:eastAsia="仿宋_GB2312"/>
          <w:snapToGrid w:val="0"/>
          <w:kern w:val="0"/>
          <w:sz w:val="32"/>
          <w:szCs w:val="32"/>
          <w:lang w:val="zh-CN"/>
        </w:rPr>
        <w:t>有</w:t>
      </w:r>
      <w:r>
        <w:rPr>
          <w:rFonts w:hint="eastAsia" w:ascii="Times New Roman" w:hAnsi="Times New Roman" w:eastAsia="仿宋_GB2312"/>
          <w:snapToGrid w:val="0"/>
          <w:kern w:val="0"/>
          <w:sz w:val="32"/>
          <w:szCs w:val="32"/>
          <w:lang w:val="zh-CN" w:eastAsia="zh-CN"/>
        </w:rPr>
        <w:t>透水蒸气</w:t>
      </w:r>
      <w:r>
        <w:rPr>
          <w:rFonts w:hint="eastAsia" w:ascii="Times New Roman" w:hAnsi="Times New Roman" w:eastAsia="仿宋_GB2312"/>
          <w:snapToGrid w:val="0"/>
          <w:kern w:val="0"/>
          <w:sz w:val="32"/>
          <w:szCs w:val="32"/>
          <w:lang w:val="zh-CN"/>
        </w:rPr>
        <w:t>性）</w:t>
      </w:r>
      <w:r>
        <w:rPr>
          <w:rFonts w:hint="eastAsia" w:ascii="Times New Roman" w:hAnsi="Times New Roman" w:eastAsia="仿宋_GB2312"/>
          <w:snapToGrid w:val="0"/>
          <w:kern w:val="0"/>
          <w:sz w:val="32"/>
          <w:szCs w:val="32"/>
          <w:lang w:val="en-US" w:eastAsia="zh-CN"/>
        </w:rPr>
        <w:t>、舒适性</w:t>
      </w:r>
      <w:r>
        <w:rPr>
          <w:rFonts w:hint="eastAsia" w:ascii="Times New Roman" w:hAnsi="Times New Roman" w:eastAsia="仿宋_GB2312"/>
          <w:snapToGrid w:val="0"/>
          <w:kern w:val="0"/>
          <w:sz w:val="32"/>
          <w:szCs w:val="32"/>
          <w:lang w:val="zh-CN"/>
        </w:rPr>
        <w:t>（</w:t>
      </w:r>
      <w:r>
        <w:rPr>
          <w:rFonts w:hint="eastAsia" w:ascii="Times New Roman" w:hAnsi="Times New Roman" w:eastAsia="仿宋_GB2312"/>
          <w:snapToGrid w:val="0"/>
          <w:kern w:val="0"/>
          <w:sz w:val="32"/>
          <w:szCs w:val="32"/>
          <w:lang w:val="zh-CN" w:eastAsia="zh-CN"/>
        </w:rPr>
        <w:t>声称具有舒适</w:t>
      </w:r>
      <w:r>
        <w:rPr>
          <w:rFonts w:hint="eastAsia" w:ascii="Times New Roman" w:hAnsi="Times New Roman" w:eastAsia="仿宋_GB2312"/>
          <w:snapToGrid w:val="0"/>
          <w:kern w:val="0"/>
          <w:sz w:val="32"/>
          <w:szCs w:val="32"/>
          <w:lang w:val="zh-CN"/>
        </w:rPr>
        <w:t>性）</w:t>
      </w:r>
      <w:r>
        <w:rPr>
          <w:rFonts w:hint="eastAsia" w:ascii="Times New Roman" w:hAnsi="Times New Roman" w:eastAsia="仿宋_GB2312"/>
          <w:snapToGrid w:val="0"/>
          <w:kern w:val="0"/>
          <w:sz w:val="32"/>
          <w:szCs w:val="32"/>
          <w:lang w:val="en-US" w:eastAsia="zh-CN"/>
        </w:rPr>
        <w:t>、弹性</w:t>
      </w:r>
      <w:r>
        <w:rPr>
          <w:rFonts w:hint="eastAsia" w:ascii="Times New Roman" w:hAnsi="Times New Roman" w:eastAsia="仿宋_GB2312"/>
          <w:snapToGrid w:val="0"/>
          <w:kern w:val="0"/>
          <w:sz w:val="32"/>
          <w:szCs w:val="32"/>
          <w:lang w:val="zh-CN"/>
        </w:rPr>
        <w:t>（</w:t>
      </w:r>
      <w:r>
        <w:rPr>
          <w:rFonts w:hint="eastAsia" w:ascii="Times New Roman" w:hAnsi="Times New Roman" w:eastAsia="仿宋_GB2312"/>
          <w:snapToGrid w:val="0"/>
          <w:kern w:val="0"/>
          <w:sz w:val="32"/>
          <w:szCs w:val="32"/>
          <w:lang w:val="zh-CN" w:eastAsia="zh-CN"/>
        </w:rPr>
        <w:t>声称具</w:t>
      </w:r>
      <w:r>
        <w:rPr>
          <w:rFonts w:hint="eastAsia" w:ascii="Times New Roman" w:hAnsi="Times New Roman" w:eastAsia="仿宋_GB2312"/>
          <w:snapToGrid w:val="0"/>
          <w:kern w:val="0"/>
          <w:sz w:val="32"/>
          <w:szCs w:val="32"/>
          <w:lang w:val="zh-CN"/>
        </w:rPr>
        <w:t>有</w:t>
      </w:r>
      <w:r>
        <w:rPr>
          <w:rFonts w:hint="eastAsia" w:ascii="Times New Roman" w:hAnsi="Times New Roman" w:eastAsia="仿宋_GB2312"/>
          <w:snapToGrid w:val="0"/>
          <w:kern w:val="0"/>
          <w:sz w:val="32"/>
          <w:szCs w:val="32"/>
          <w:lang w:val="zh-CN" w:eastAsia="zh-CN"/>
        </w:rPr>
        <w:t>弹</w:t>
      </w:r>
      <w:r>
        <w:rPr>
          <w:rFonts w:hint="eastAsia" w:ascii="Times New Roman" w:hAnsi="Times New Roman" w:eastAsia="仿宋_GB2312"/>
          <w:snapToGrid w:val="0"/>
          <w:kern w:val="0"/>
          <w:sz w:val="32"/>
          <w:szCs w:val="32"/>
          <w:lang w:val="zh-CN"/>
        </w:rPr>
        <w:t>性）</w:t>
      </w:r>
      <w:r>
        <w:rPr>
          <w:rFonts w:hint="eastAsia" w:ascii="Times New Roman" w:hAnsi="Times New Roman" w:eastAsia="仿宋_GB2312"/>
          <w:snapToGrid w:val="0"/>
          <w:kern w:val="0"/>
          <w:sz w:val="32"/>
          <w:szCs w:val="32"/>
          <w:lang w:val="en-US" w:eastAsia="zh-CN"/>
        </w:rPr>
        <w:t>、</w:t>
      </w:r>
      <w:r>
        <w:rPr>
          <w:rFonts w:hint="eastAsia" w:ascii="Times New Roman" w:hAnsi="Times New Roman" w:eastAsia="仿宋_GB2312"/>
          <w:snapToGrid w:val="0"/>
          <w:kern w:val="0"/>
          <w:sz w:val="32"/>
          <w:szCs w:val="32"/>
          <w:lang w:val="zh-CN"/>
        </w:rPr>
        <w:t>液体吸</w:t>
      </w:r>
      <w:r>
        <w:rPr>
          <w:rFonts w:hint="eastAsia" w:ascii="Times New Roman" w:hAnsi="Times New Roman" w:eastAsia="仿宋_GB2312"/>
          <w:snapToGrid w:val="0"/>
          <w:kern w:val="0"/>
          <w:sz w:val="32"/>
          <w:szCs w:val="32"/>
          <w:lang w:val="zh-CN" w:eastAsia="zh-CN"/>
        </w:rPr>
        <w:t>收</w:t>
      </w:r>
      <w:r>
        <w:rPr>
          <w:rFonts w:hint="eastAsia" w:ascii="Times New Roman" w:hAnsi="Times New Roman" w:eastAsia="仿宋_GB2312"/>
          <w:snapToGrid w:val="0"/>
          <w:kern w:val="0"/>
          <w:sz w:val="32"/>
          <w:szCs w:val="32"/>
          <w:lang w:val="zh-CN"/>
        </w:rPr>
        <w:t>量</w:t>
      </w:r>
      <w:r>
        <w:rPr>
          <w:rFonts w:hint="eastAsia" w:ascii="Times New Roman" w:hAnsi="Times New Roman" w:eastAsia="仿宋_GB2312"/>
          <w:snapToGrid w:val="0"/>
          <w:kern w:val="0"/>
          <w:sz w:val="32"/>
          <w:szCs w:val="32"/>
          <w:lang w:val="zh-CN" w:eastAsia="zh-CN"/>
        </w:rPr>
        <w:t>。</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hint="eastAsia" w:ascii="Times New Roman" w:hAnsi="Times New Roman" w:eastAsia="仿宋_GB2312"/>
          <w:snapToGrid w:val="0"/>
          <w:kern w:val="0"/>
          <w:sz w:val="32"/>
          <w:szCs w:val="32"/>
          <w:lang w:val="en-US" w:eastAsia="zh-CN"/>
        </w:rPr>
      </w:pPr>
      <w:r>
        <w:rPr>
          <w:rFonts w:hint="eastAsia" w:eastAsia="仿宋_GB2312"/>
          <w:snapToGrid w:val="0"/>
          <w:kern w:val="0"/>
          <w:sz w:val="32"/>
          <w:szCs w:val="32"/>
          <w:lang w:val="en-US" w:eastAsia="zh-CN"/>
        </w:rPr>
        <w:t>c</w:t>
      </w:r>
      <w:r>
        <w:rPr>
          <w:rFonts w:hint="eastAsia" w:ascii="Times New Roman" w:hAnsi="Times New Roman" w:eastAsia="仿宋_GB2312"/>
          <w:snapToGrid w:val="0"/>
          <w:kern w:val="0"/>
          <w:sz w:val="32"/>
          <w:szCs w:val="32"/>
          <w:lang w:val="en-US" w:eastAsia="zh-CN"/>
        </w:rPr>
        <w:t>.化学性能：水中溶出物、酸碱度、表面活性物质、环氧乙烷残留量（环氧乙烷灭菌产品）。</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hint="eastAsia" w:ascii="Times New Roman" w:hAnsi="Times New Roman" w:eastAsia="仿宋_GB2312"/>
          <w:snapToGrid w:val="0"/>
          <w:kern w:val="0"/>
          <w:sz w:val="32"/>
          <w:szCs w:val="32"/>
          <w:lang w:val="en-US" w:eastAsia="zh-CN"/>
        </w:rPr>
      </w:pPr>
      <w:r>
        <w:rPr>
          <w:rFonts w:hint="eastAsia" w:eastAsia="仿宋_GB2312"/>
          <w:snapToGrid w:val="0"/>
          <w:kern w:val="0"/>
          <w:sz w:val="32"/>
          <w:szCs w:val="32"/>
          <w:lang w:val="en-US" w:eastAsia="zh-CN"/>
        </w:rPr>
        <w:t>d</w:t>
      </w:r>
      <w:r>
        <w:rPr>
          <w:rFonts w:hint="eastAsia" w:ascii="Times New Roman" w:hAnsi="Times New Roman" w:eastAsia="仿宋_GB2312"/>
          <w:snapToGrid w:val="0"/>
          <w:kern w:val="0"/>
          <w:sz w:val="32"/>
          <w:szCs w:val="32"/>
          <w:lang w:val="en-US" w:eastAsia="zh-CN"/>
        </w:rPr>
        <w:t>.生物性能：无菌。</w:t>
      </w:r>
    </w:p>
    <w:p>
      <w:pPr>
        <w:keepNext w:val="0"/>
        <w:keepLines w:val="0"/>
        <w:pageBreakBefore w:val="0"/>
        <w:widowControl w:val="0"/>
        <w:numPr>
          <w:ilvl w:val="-1"/>
          <w:numId w:val="0"/>
        </w:numPr>
        <w:kinsoku/>
        <w:wordWrap/>
        <w:overflowPunct/>
        <w:topLinePunct w:val="0"/>
        <w:bidi w:val="0"/>
        <w:spacing w:line="520" w:lineRule="exact"/>
        <w:ind w:leftChars="0" w:firstLine="640" w:firstLineChars="200"/>
        <w:textAlignment w:val="auto"/>
        <w:rPr>
          <w:rFonts w:hint="eastAsia" w:ascii="仿宋" w:hAnsi="仿宋" w:eastAsia="仿宋" w:cs="仿宋"/>
          <w:color w:val="000000"/>
          <w:sz w:val="32"/>
          <w:szCs w:val="32"/>
          <w:lang w:val="en-US" w:eastAsia="zh-CN"/>
        </w:rPr>
      </w:pPr>
      <w:r>
        <w:rPr>
          <w:rFonts w:hint="eastAsia" w:ascii="Times New Roman" w:hAnsi="Times New Roman" w:eastAsia="仿宋_GB2312" w:cs="Times New Roman"/>
          <w:snapToGrid w:val="0"/>
          <w:kern w:val="0"/>
          <w:sz w:val="32"/>
          <w:szCs w:val="32"/>
          <w:lang w:val="en-US" w:eastAsia="zh-CN" w:bidi="ar-SA"/>
        </w:rPr>
        <w:t>e.</w:t>
      </w:r>
      <w:r>
        <w:rPr>
          <w:rFonts w:hint="eastAsia" w:ascii="仿宋" w:hAnsi="仿宋" w:eastAsia="仿宋" w:cs="仿宋"/>
          <w:color w:val="000000"/>
          <w:sz w:val="32"/>
          <w:szCs w:val="32"/>
          <w:lang w:val="en-US" w:eastAsia="zh-CN"/>
        </w:rPr>
        <w:t>检验方法。</w:t>
      </w:r>
    </w:p>
    <w:p>
      <w:pPr>
        <w:keepNext w:val="0"/>
        <w:keepLines w:val="0"/>
        <w:pageBreakBefore w:val="0"/>
        <w:widowControl w:val="0"/>
        <w:numPr>
          <w:ilvl w:val="-1"/>
          <w:numId w:val="0"/>
        </w:numPr>
        <w:kinsoku/>
        <w:wordWrap/>
        <w:overflowPunct/>
        <w:topLinePunct w:val="0"/>
        <w:bidi w:val="0"/>
        <w:spacing w:line="520" w:lineRule="exact"/>
        <w:ind w:leftChars="0"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产品的检验方法应根据技术性能指标设定，检验方法需优先采用已颁布的标准或公认的检验方法；自定义检验方法需提供相应的方法学依据及理论基础，同时保证检验方法具有可操作性和可重现性，必要时可附相应图示进行说明，文本较大的可以附录形式提供。</w:t>
      </w:r>
    </w:p>
    <w:p>
      <w:pPr>
        <w:pStyle w:val="4"/>
        <w:keepNext w:val="0"/>
        <w:keepLines w:val="0"/>
        <w:pageBreakBefore w:val="0"/>
        <w:widowControl w:val="0"/>
        <w:kinsoku/>
        <w:wordWrap/>
        <w:overflowPunct/>
        <w:topLinePunct w:val="0"/>
        <w:bidi w:val="0"/>
        <w:textAlignment w:val="auto"/>
        <w:rPr>
          <w:rFonts w:hint="eastAsia" w:ascii="Times New Roman" w:hAnsi="Times New Roman" w:eastAsia="仿宋_GB2312"/>
          <w:snapToGrid w:val="0"/>
          <w:kern w:val="0"/>
          <w:sz w:val="32"/>
          <w:szCs w:val="32"/>
          <w:lang w:eastAsia="zh-CN"/>
        </w:rPr>
      </w:pPr>
      <w:r>
        <w:rPr>
          <w:rFonts w:hint="eastAsia" w:ascii="Times New Roman" w:hAnsi="Times New Roman" w:eastAsia="仿宋_GB2312"/>
          <w:snapToGrid w:val="0"/>
          <w:kern w:val="0"/>
          <w:sz w:val="32"/>
          <w:szCs w:val="32"/>
          <w:lang w:eastAsia="zh-CN"/>
        </w:rPr>
        <w:t>（</w:t>
      </w:r>
      <w:r>
        <w:rPr>
          <w:rFonts w:hint="eastAsia" w:ascii="Times New Roman" w:hAnsi="Times New Roman" w:eastAsia="仿宋_GB2312"/>
          <w:snapToGrid w:val="0"/>
          <w:kern w:val="0"/>
          <w:sz w:val="32"/>
          <w:szCs w:val="32"/>
          <w:lang w:val="en-US" w:eastAsia="zh-CN"/>
        </w:rPr>
        <w:t>2</w:t>
      </w:r>
      <w:r>
        <w:rPr>
          <w:rFonts w:hint="eastAsia" w:ascii="Times New Roman" w:hAnsi="Times New Roman" w:eastAsia="仿宋_GB2312"/>
          <w:snapToGrid w:val="0"/>
          <w:kern w:val="0"/>
          <w:sz w:val="32"/>
          <w:szCs w:val="32"/>
          <w:lang w:eastAsia="zh-CN"/>
        </w:rPr>
        <w:t>）标准符合性清单</w:t>
      </w:r>
    </w:p>
    <w:p>
      <w:pPr>
        <w:pStyle w:val="4"/>
        <w:keepNext w:val="0"/>
        <w:keepLines w:val="0"/>
        <w:pageBreakBefore w:val="0"/>
        <w:widowControl w:val="0"/>
        <w:kinsoku/>
        <w:wordWrap/>
        <w:overflowPunct/>
        <w:topLinePunct w:val="0"/>
        <w:bidi w:val="0"/>
        <w:textAlignment w:val="auto"/>
        <w:rPr>
          <w:rFonts w:hint="eastAsia" w:ascii="仿宋" w:hAnsi="仿宋" w:eastAsia="仿宋" w:cs="仿宋"/>
          <w:sz w:val="30"/>
          <w:szCs w:val="30"/>
        </w:rPr>
      </w:pPr>
      <w:r>
        <w:rPr>
          <w:rFonts w:ascii="Times New Roman" w:hAnsi="Times New Roman" w:eastAsia="仿宋_GB2312"/>
          <w:snapToGrid w:val="0"/>
          <w:kern w:val="0"/>
          <w:sz w:val="32"/>
          <w:szCs w:val="32"/>
        </w:rPr>
        <w:t>申报产品应符合的国家标准</w:t>
      </w:r>
      <w:r>
        <w:rPr>
          <w:rFonts w:ascii="Times New Roman" w:hAnsi="Times New Roman" w:eastAsia="仿宋_GB2312"/>
          <w:sz w:val="32"/>
          <w:szCs w:val="32"/>
        </w:rPr>
        <w:t>和行业标准可参考下表</w:t>
      </w:r>
      <w:r>
        <w:rPr>
          <w:rFonts w:hint="eastAsia" w:ascii="Times New Roman" w:hAnsi="Times New Roman" w:eastAsia="仿宋_GB2312"/>
          <w:sz w:val="32"/>
          <w:szCs w:val="32"/>
          <w:lang w:val="en-US" w:eastAsia="zh-CN"/>
        </w:rPr>
        <w:t>1</w:t>
      </w:r>
      <w:r>
        <w:rPr>
          <w:rFonts w:hint="eastAsia" w:ascii="Times New Roman" w:hAnsi="Times New Roman" w:eastAsia="仿宋"/>
        </w:rPr>
        <w:t>。</w:t>
      </w:r>
      <w:r>
        <w:rPr>
          <w:rFonts w:hint="eastAsia" w:ascii="仿宋" w:hAnsi="仿宋" w:eastAsia="仿宋" w:cs="仿宋"/>
          <w:sz w:val="30"/>
          <w:szCs w:val="30"/>
        </w:rPr>
        <w:t xml:space="preserve">   </w:t>
      </w:r>
    </w:p>
    <w:p>
      <w:pPr>
        <w:spacing w:before="156" w:beforeLines="50" w:after="156" w:afterLines="50" w:line="480" w:lineRule="exact"/>
        <w:jc w:val="center"/>
        <w:rPr>
          <w:rFonts w:hint="eastAsia" w:ascii="黑体" w:hAnsi="黑体" w:eastAsia="黑体" w:cs="黑体"/>
          <w:sz w:val="28"/>
          <w:szCs w:val="28"/>
        </w:rPr>
      </w:pPr>
      <w:r>
        <w:rPr>
          <w:rFonts w:hint="eastAsia" w:ascii="黑体" w:hAnsi="黑体" w:eastAsia="黑体" w:cs="黑体"/>
          <w:bCs/>
          <w:sz w:val="28"/>
          <w:szCs w:val="28"/>
        </w:rPr>
        <w:t>表</w:t>
      </w:r>
      <w:r>
        <w:rPr>
          <w:rFonts w:hint="eastAsia" w:ascii="黑体" w:hAnsi="黑体" w:eastAsia="黑体" w:cs="黑体"/>
          <w:bCs/>
          <w:sz w:val="28"/>
          <w:szCs w:val="28"/>
          <w:lang w:val="en-US" w:eastAsia="zh-CN"/>
        </w:rPr>
        <w:t>1</w:t>
      </w:r>
      <w:r>
        <w:rPr>
          <w:rFonts w:hint="eastAsia" w:ascii="黑体" w:hAnsi="黑体" w:eastAsia="黑体" w:cs="黑体"/>
          <w:bCs/>
          <w:sz w:val="28"/>
          <w:szCs w:val="28"/>
        </w:rPr>
        <w:t xml:space="preserve">  相关标准</w:t>
      </w:r>
    </w:p>
    <w:tbl>
      <w:tblPr>
        <w:tblStyle w:val="17"/>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6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839" w:type="dxa"/>
            <w:noWrap w:val="0"/>
            <w:vAlign w:val="center"/>
          </w:tcPr>
          <w:p>
            <w:pPr>
              <w:keepNext w:val="0"/>
              <w:keepLines w:val="0"/>
              <w:widowControl/>
              <w:suppressLineNumbers w:val="0"/>
              <w:jc w:val="center"/>
              <w:textAlignment w:val="center"/>
              <w:rPr>
                <w:rFonts w:hint="eastAsia" w:ascii="黑体" w:hAnsi="黑体" w:eastAsia="黑体" w:cs="黑体"/>
                <w:sz w:val="28"/>
                <w:szCs w:val="28"/>
                <w:highlight w:val="none"/>
              </w:rPr>
            </w:pPr>
            <w:r>
              <w:rPr>
                <w:rFonts w:hint="eastAsia" w:ascii="黑体" w:hAnsi="黑体" w:eastAsia="黑体" w:cs="黑体"/>
                <w:i w:val="0"/>
                <w:color w:val="000000"/>
                <w:kern w:val="0"/>
                <w:sz w:val="28"/>
                <w:szCs w:val="28"/>
                <w:u w:val="none"/>
                <w:lang w:val="en-US" w:eastAsia="zh-CN" w:bidi="ar"/>
              </w:rPr>
              <w:t>标准编号</w:t>
            </w:r>
          </w:p>
        </w:tc>
        <w:tc>
          <w:tcPr>
            <w:tcW w:w="6400" w:type="dxa"/>
            <w:noWrap w:val="0"/>
            <w:vAlign w:val="center"/>
          </w:tcPr>
          <w:p>
            <w:pPr>
              <w:keepNext w:val="0"/>
              <w:keepLines w:val="0"/>
              <w:widowControl/>
              <w:suppressLineNumbers w:val="0"/>
              <w:jc w:val="center"/>
              <w:textAlignment w:val="center"/>
              <w:rPr>
                <w:rFonts w:hint="eastAsia" w:ascii="黑体" w:hAnsi="黑体" w:eastAsia="黑体" w:cs="黑体"/>
                <w:sz w:val="28"/>
                <w:szCs w:val="28"/>
                <w:highlight w:val="none"/>
              </w:rPr>
            </w:pPr>
            <w:r>
              <w:rPr>
                <w:rFonts w:hint="eastAsia" w:ascii="黑体" w:hAnsi="黑体" w:eastAsia="黑体" w:cs="黑体"/>
                <w:i w:val="0"/>
                <w:color w:val="000000"/>
                <w:kern w:val="0"/>
                <w:sz w:val="28"/>
                <w:szCs w:val="28"/>
                <w:u w:val="none"/>
                <w:lang w:val="en-US" w:eastAsia="zh-CN" w:bidi="ar"/>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839"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0"/>
                <w:sz w:val="28"/>
                <w:szCs w:val="28"/>
                <w:highlight w:val="none"/>
                <w:lang w:val="en-US" w:eastAsia="zh-CN" w:bidi="ar-SA"/>
              </w:rPr>
            </w:pPr>
            <w:r>
              <w:rPr>
                <w:rFonts w:hint="default" w:ascii="Times New Roman" w:hAnsi="Times New Roman" w:eastAsia="宋体" w:cs="Times New Roman"/>
                <w:i w:val="0"/>
                <w:color w:val="000000"/>
                <w:kern w:val="0"/>
                <w:sz w:val="28"/>
                <w:szCs w:val="28"/>
                <w:u w:val="none"/>
                <w:lang w:val="en-US" w:eastAsia="zh-CN" w:bidi="ar"/>
              </w:rPr>
              <w:t>GB18279.1</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lang w:val="en-US" w:eastAsia="zh-CN" w:bidi="ar-SA"/>
              </w:rPr>
            </w:pPr>
            <w:r>
              <w:rPr>
                <w:rFonts w:hint="eastAsia" w:ascii="Times New Roman" w:hAnsi="Times New Roman" w:eastAsia="仿宋_GB2312" w:cs="Times New Roman"/>
                <w:i w:val="0"/>
                <w:color w:val="000000"/>
                <w:kern w:val="0"/>
                <w:sz w:val="28"/>
                <w:szCs w:val="28"/>
                <w:u w:val="none"/>
                <w:lang w:val="en-US" w:eastAsia="zh-CN" w:bidi="ar"/>
              </w:rPr>
              <w:t>医疗保健产品灭菌 环氧乙烷 第1</w:t>
            </w:r>
            <w:r>
              <w:rPr>
                <w:rFonts w:hint="eastAsia" w:ascii="Times New Roman" w:hAnsi="Times New Roman" w:eastAsia="仿宋_GB2312" w:cs="Times New Roman"/>
                <w:color w:val="000000"/>
                <w:kern w:val="0"/>
                <w:sz w:val="28"/>
                <w:szCs w:val="28"/>
                <w:lang w:val="en-US" w:eastAsia="zh-CN" w:bidi="ar"/>
              </w:rPr>
              <w:t>部分：医疗器械灭菌过程的开发、确认和常规控制的要求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839"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
                <w:sz w:val="28"/>
                <w:szCs w:val="28"/>
                <w:highlight w:val="none"/>
                <w:lang w:val="en-US" w:eastAsia="zh-CN" w:bidi="ar-SA"/>
              </w:rPr>
            </w:pPr>
            <w:r>
              <w:rPr>
                <w:rFonts w:hint="default" w:ascii="Times New Roman" w:hAnsi="Times New Roman" w:eastAsia="宋体" w:cs="Times New Roman"/>
                <w:i w:val="0"/>
                <w:color w:val="000000"/>
                <w:kern w:val="0"/>
                <w:sz w:val="28"/>
                <w:szCs w:val="28"/>
                <w:u w:val="none"/>
                <w:lang w:val="en-US" w:eastAsia="zh-CN" w:bidi="ar"/>
              </w:rPr>
              <w:t>GB18280.1</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lang w:val="en-US" w:eastAsia="zh-CN" w:bidi="ar-SA"/>
              </w:rPr>
            </w:pPr>
            <w:r>
              <w:rPr>
                <w:rFonts w:hint="eastAsia" w:ascii="Times New Roman" w:hAnsi="Times New Roman" w:eastAsia="仿宋_GB2312" w:cs="Times New Roman"/>
                <w:i w:val="0"/>
                <w:color w:val="000000"/>
                <w:kern w:val="0"/>
                <w:sz w:val="28"/>
                <w:szCs w:val="28"/>
                <w:u w:val="none"/>
                <w:lang w:val="en-US" w:eastAsia="zh-CN" w:bidi="ar"/>
              </w:rPr>
              <w:t>医疗保健产品灭菌 辐射 第1</w:t>
            </w:r>
            <w:r>
              <w:rPr>
                <w:rFonts w:hint="eastAsia" w:ascii="Times New Roman" w:hAnsi="Times New Roman" w:eastAsia="仿宋_GB2312" w:cs="Times New Roman"/>
                <w:color w:val="000000"/>
                <w:kern w:val="0"/>
                <w:sz w:val="28"/>
                <w:szCs w:val="28"/>
                <w:lang w:val="en-US" w:eastAsia="zh-CN" w:bidi="ar"/>
              </w:rPr>
              <w:t>部分：医疗器械灭菌过程的开发、确认和常规控制的要求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sz w:val="28"/>
                <w:szCs w:val="28"/>
                <w:highlight w:val="none"/>
              </w:rPr>
            </w:pPr>
            <w:r>
              <w:rPr>
                <w:rFonts w:hint="default" w:ascii="Times New Roman" w:hAnsi="Times New Roman" w:eastAsia="宋体" w:cs="Times New Roman"/>
                <w:i w:val="0"/>
                <w:color w:val="000000"/>
                <w:kern w:val="0"/>
                <w:sz w:val="28"/>
                <w:szCs w:val="28"/>
                <w:u w:val="none"/>
                <w:lang w:val="en-US" w:eastAsia="zh-CN" w:bidi="ar"/>
              </w:rPr>
              <w:t>GB/T 14233.1</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rPr>
            </w:pPr>
            <w:r>
              <w:rPr>
                <w:rFonts w:hint="eastAsia" w:ascii="Times New Roman" w:hAnsi="Times New Roman" w:eastAsia="仿宋_GB2312" w:cs="Times New Roman"/>
                <w:i w:val="0"/>
                <w:color w:val="000000"/>
                <w:kern w:val="0"/>
                <w:sz w:val="28"/>
                <w:szCs w:val="28"/>
                <w:u w:val="none"/>
                <w:lang w:val="en-US" w:eastAsia="zh-CN" w:bidi="ar"/>
              </w:rPr>
              <w:t>《医用输液、输血、注射器具检验方法 第1</w:t>
            </w:r>
            <w:r>
              <w:rPr>
                <w:rFonts w:hint="eastAsia" w:ascii="Times New Roman" w:hAnsi="Times New Roman" w:eastAsia="仿宋_GB2312" w:cs="Times New Roman"/>
                <w:color w:val="000000"/>
                <w:kern w:val="0"/>
                <w:sz w:val="28"/>
                <w:szCs w:val="28"/>
                <w:lang w:val="en-US" w:eastAsia="zh-CN" w:bidi="ar"/>
              </w:rPr>
              <w:t>部分：化学分析方法》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sz w:val="28"/>
                <w:szCs w:val="28"/>
                <w:highlight w:val="none"/>
              </w:rPr>
            </w:pPr>
            <w:r>
              <w:rPr>
                <w:rFonts w:hint="default" w:ascii="Times New Roman" w:hAnsi="Times New Roman" w:eastAsia="宋体" w:cs="Times New Roman"/>
                <w:i w:val="0"/>
                <w:color w:val="000000"/>
                <w:kern w:val="0"/>
                <w:sz w:val="28"/>
                <w:szCs w:val="28"/>
                <w:u w:val="none"/>
                <w:lang w:val="en-US" w:eastAsia="zh-CN" w:bidi="ar"/>
              </w:rPr>
              <w:t>GB/T 14233.2</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rPr>
            </w:pPr>
            <w:r>
              <w:rPr>
                <w:rFonts w:hint="eastAsia" w:ascii="Times New Roman" w:hAnsi="Times New Roman" w:eastAsia="仿宋_GB2312" w:cs="Times New Roman"/>
                <w:i w:val="0"/>
                <w:color w:val="000000"/>
                <w:kern w:val="0"/>
                <w:sz w:val="28"/>
                <w:szCs w:val="28"/>
                <w:u w:val="none"/>
                <w:lang w:val="en-US" w:eastAsia="zh-CN" w:bidi="ar"/>
              </w:rPr>
              <w:t>《医用输液、输血、注射器具检验方法 第2</w:t>
            </w:r>
            <w:r>
              <w:rPr>
                <w:rFonts w:hint="eastAsia" w:ascii="Times New Roman" w:hAnsi="Times New Roman" w:eastAsia="仿宋_GB2312" w:cs="Times New Roman"/>
                <w:color w:val="000000"/>
                <w:kern w:val="0"/>
                <w:sz w:val="28"/>
                <w:szCs w:val="28"/>
                <w:lang w:val="en-US" w:eastAsia="zh-CN" w:bidi="ar"/>
              </w:rPr>
              <w:t>部分：生物学试验方法》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sz w:val="28"/>
                <w:szCs w:val="28"/>
                <w:highlight w:val="none"/>
              </w:rPr>
            </w:pPr>
            <w:r>
              <w:rPr>
                <w:rFonts w:hint="default" w:ascii="Times New Roman" w:hAnsi="Times New Roman" w:eastAsia="宋体" w:cs="Times New Roman"/>
                <w:i w:val="0"/>
                <w:color w:val="000000"/>
                <w:kern w:val="0"/>
                <w:sz w:val="28"/>
                <w:szCs w:val="28"/>
                <w:u w:val="none"/>
                <w:lang w:val="en-US" w:eastAsia="zh-CN" w:bidi="ar"/>
              </w:rPr>
              <w:t>GB/T 16886.1</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rPr>
            </w:pPr>
            <w:r>
              <w:rPr>
                <w:rFonts w:hint="eastAsia" w:ascii="Times New Roman" w:hAnsi="Times New Roman" w:eastAsia="仿宋_GB2312" w:cs="Times New Roman"/>
                <w:i w:val="0"/>
                <w:color w:val="000000"/>
                <w:kern w:val="0"/>
                <w:sz w:val="28"/>
                <w:szCs w:val="28"/>
                <w:u w:val="none"/>
                <w:lang w:val="en-US" w:eastAsia="zh-CN" w:bidi="ar"/>
              </w:rPr>
              <w:t>《医疗器械生物学评价 第1</w:t>
            </w:r>
            <w:r>
              <w:rPr>
                <w:rFonts w:hint="eastAsia" w:ascii="Times New Roman" w:hAnsi="Times New Roman" w:eastAsia="仿宋_GB2312" w:cs="Times New Roman"/>
                <w:color w:val="000000"/>
                <w:kern w:val="0"/>
                <w:sz w:val="28"/>
                <w:szCs w:val="28"/>
                <w:lang w:val="en-US" w:eastAsia="zh-CN" w:bidi="ar"/>
              </w:rPr>
              <w:t>部分：风险管理过程中的评价与试验》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sz w:val="28"/>
                <w:szCs w:val="28"/>
                <w:highlight w:val="none"/>
              </w:rPr>
            </w:pPr>
            <w:r>
              <w:rPr>
                <w:rFonts w:hint="default" w:ascii="Times New Roman" w:hAnsi="Times New Roman" w:eastAsia="宋体" w:cs="Times New Roman"/>
                <w:i w:val="0"/>
                <w:color w:val="000000"/>
                <w:kern w:val="0"/>
                <w:sz w:val="28"/>
                <w:szCs w:val="28"/>
                <w:u w:val="none"/>
                <w:lang w:val="en-US" w:eastAsia="zh-CN" w:bidi="ar"/>
              </w:rPr>
              <w:t>GB/T 16886.5</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rPr>
            </w:pPr>
            <w:r>
              <w:rPr>
                <w:rFonts w:hint="eastAsia" w:ascii="Times New Roman" w:hAnsi="Times New Roman" w:eastAsia="仿宋_GB2312" w:cs="Times New Roman"/>
                <w:i w:val="0"/>
                <w:color w:val="000000"/>
                <w:kern w:val="0"/>
                <w:sz w:val="28"/>
                <w:szCs w:val="28"/>
                <w:u w:val="none"/>
                <w:lang w:val="en-US" w:eastAsia="zh-CN" w:bidi="ar"/>
              </w:rPr>
              <w:t>《医疗器械生物学评价 第5</w:t>
            </w:r>
            <w:r>
              <w:rPr>
                <w:rFonts w:hint="eastAsia" w:ascii="Times New Roman" w:hAnsi="Times New Roman" w:eastAsia="仿宋_GB2312" w:cs="Times New Roman"/>
                <w:color w:val="000000"/>
                <w:kern w:val="0"/>
                <w:sz w:val="28"/>
                <w:szCs w:val="28"/>
                <w:lang w:val="en-US" w:eastAsia="zh-CN" w:bidi="ar"/>
              </w:rPr>
              <w:t>部分：体外细胞毒性试验》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bCs/>
                <w:sz w:val="28"/>
                <w:szCs w:val="28"/>
                <w:highlight w:val="none"/>
              </w:rPr>
            </w:pPr>
            <w:r>
              <w:rPr>
                <w:rFonts w:hint="default" w:ascii="Times New Roman" w:hAnsi="Times New Roman" w:eastAsia="宋体" w:cs="Times New Roman"/>
                <w:i w:val="0"/>
                <w:color w:val="000000"/>
                <w:kern w:val="0"/>
                <w:sz w:val="28"/>
                <w:szCs w:val="28"/>
                <w:u w:val="none"/>
                <w:lang w:val="en-US" w:eastAsia="zh-CN" w:bidi="ar"/>
              </w:rPr>
              <w:t>GB/T 16886.7</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bCs w:val="0"/>
                <w:color w:val="000000"/>
                <w:kern w:val="0"/>
                <w:sz w:val="28"/>
                <w:szCs w:val="28"/>
              </w:rPr>
            </w:pPr>
            <w:r>
              <w:rPr>
                <w:rFonts w:hint="eastAsia" w:ascii="Times New Roman" w:hAnsi="Times New Roman" w:eastAsia="仿宋_GB2312" w:cs="Times New Roman"/>
                <w:i w:val="0"/>
                <w:color w:val="000000"/>
                <w:kern w:val="0"/>
                <w:sz w:val="28"/>
                <w:szCs w:val="28"/>
                <w:u w:val="none"/>
                <w:lang w:val="en-US" w:eastAsia="zh-CN" w:bidi="ar"/>
              </w:rPr>
              <w:t>医疗器械生物学评价  第7部分：环氧乙烷灭菌残留量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kern w:val="0"/>
                <w:sz w:val="28"/>
                <w:szCs w:val="28"/>
                <w:highlight w:val="none"/>
                <w:lang w:val="en-US" w:eastAsia="en-US" w:bidi="ar-SA"/>
              </w:rPr>
            </w:pPr>
            <w:r>
              <w:rPr>
                <w:rFonts w:hint="default" w:ascii="Times New Roman" w:hAnsi="Times New Roman" w:eastAsia="宋体" w:cs="Times New Roman"/>
                <w:i w:val="0"/>
                <w:color w:val="000000"/>
                <w:kern w:val="0"/>
                <w:sz w:val="28"/>
                <w:szCs w:val="28"/>
                <w:u w:val="none"/>
                <w:lang w:val="en-US" w:eastAsia="zh-CN" w:bidi="ar"/>
              </w:rPr>
              <w:t>GB/T 16886.10</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lang w:val="en-US" w:eastAsia="zh-CN" w:bidi="ar-SA"/>
              </w:rPr>
            </w:pPr>
            <w:r>
              <w:rPr>
                <w:rFonts w:hint="eastAsia" w:ascii="Times New Roman" w:hAnsi="Times New Roman" w:eastAsia="仿宋_GB2312" w:cs="Times New Roman"/>
                <w:i w:val="0"/>
                <w:color w:val="000000"/>
                <w:kern w:val="0"/>
                <w:sz w:val="28"/>
                <w:szCs w:val="28"/>
                <w:u w:val="none"/>
                <w:lang w:val="en-US" w:eastAsia="zh-CN" w:bidi="ar"/>
              </w:rPr>
              <w:t>《医疗器械生物学评价 第10</w:t>
            </w:r>
            <w:r>
              <w:rPr>
                <w:rFonts w:hint="eastAsia" w:ascii="Times New Roman" w:hAnsi="Times New Roman" w:eastAsia="仿宋_GB2312" w:cs="Times New Roman"/>
                <w:color w:val="000000"/>
                <w:kern w:val="0"/>
                <w:sz w:val="28"/>
                <w:szCs w:val="28"/>
                <w:lang w:val="en-US" w:eastAsia="zh-CN" w:bidi="ar"/>
              </w:rPr>
              <w:t>部分：刺激与皮肤致敏试验》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kern w:val="0"/>
                <w:sz w:val="28"/>
                <w:szCs w:val="28"/>
                <w:highlight w:val="none"/>
                <w:lang w:val="en-US" w:eastAsia="en-US" w:bidi="ar-SA"/>
              </w:rPr>
            </w:pPr>
            <w:r>
              <w:rPr>
                <w:rFonts w:hint="default" w:ascii="Times New Roman" w:hAnsi="Times New Roman" w:eastAsia="宋体" w:cs="Times New Roman"/>
                <w:i w:val="0"/>
                <w:color w:val="000000"/>
                <w:kern w:val="0"/>
                <w:sz w:val="28"/>
                <w:szCs w:val="28"/>
                <w:u w:val="none"/>
                <w:lang w:val="en-US" w:eastAsia="zh-CN" w:bidi="ar"/>
              </w:rPr>
              <w:t>GB/T 16886.12</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lang w:val="en-US" w:eastAsia="zh-CN" w:bidi="ar-SA"/>
              </w:rPr>
            </w:pPr>
            <w:r>
              <w:rPr>
                <w:rFonts w:hint="eastAsia" w:ascii="Times New Roman" w:hAnsi="Times New Roman" w:eastAsia="仿宋_GB2312" w:cs="Times New Roman"/>
                <w:i w:val="0"/>
                <w:color w:val="000000"/>
                <w:kern w:val="0"/>
                <w:sz w:val="28"/>
                <w:szCs w:val="28"/>
                <w:u w:val="none"/>
                <w:lang w:val="en-US" w:eastAsia="zh-CN" w:bidi="ar"/>
              </w:rPr>
              <w:t>医疗器械生物学评价 第12部分：样品制备与参照材料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kern w:val="0"/>
                <w:sz w:val="28"/>
                <w:szCs w:val="28"/>
                <w:highlight w:val="none"/>
                <w:lang w:val="en-US" w:eastAsia="en-US" w:bidi="ar-SA"/>
              </w:rPr>
            </w:pPr>
            <w:r>
              <w:rPr>
                <w:rFonts w:hint="default" w:ascii="Times New Roman" w:hAnsi="Times New Roman" w:eastAsia="宋体" w:cs="Times New Roman"/>
                <w:i w:val="0"/>
                <w:color w:val="000000"/>
                <w:kern w:val="0"/>
                <w:sz w:val="28"/>
                <w:szCs w:val="28"/>
                <w:u w:val="none"/>
                <w:lang w:val="en-US" w:eastAsia="zh-CN" w:bidi="ar"/>
              </w:rPr>
              <w:t>GB/T 19633.1</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lang w:val="en-US" w:eastAsia="zh-CN" w:bidi="ar-SA"/>
              </w:rPr>
            </w:pPr>
            <w:r>
              <w:rPr>
                <w:rFonts w:hint="eastAsia" w:ascii="Times New Roman" w:hAnsi="Times New Roman" w:eastAsia="仿宋_GB2312" w:cs="Times New Roman"/>
                <w:i w:val="0"/>
                <w:color w:val="000000"/>
                <w:kern w:val="0"/>
                <w:sz w:val="28"/>
                <w:szCs w:val="28"/>
                <w:u w:val="none"/>
                <w:lang w:val="en-US" w:eastAsia="zh-CN" w:bidi="ar"/>
              </w:rPr>
              <w:t>《最终灭菌医疗器械包装 第1</w:t>
            </w:r>
            <w:r>
              <w:rPr>
                <w:rFonts w:hint="eastAsia" w:ascii="Times New Roman" w:hAnsi="Times New Roman" w:eastAsia="仿宋_GB2312" w:cs="Times New Roman"/>
                <w:color w:val="000000"/>
                <w:kern w:val="0"/>
                <w:sz w:val="28"/>
                <w:szCs w:val="28"/>
                <w:lang w:val="en-US" w:eastAsia="zh-CN" w:bidi="ar"/>
              </w:rPr>
              <w:t>部分：材料、无菌屏障系统和包装系统的要求》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kern w:val="0"/>
                <w:sz w:val="28"/>
                <w:szCs w:val="28"/>
                <w:highlight w:val="none"/>
                <w:lang w:val="en-US" w:eastAsia="zh-CN" w:bidi="ar-SA"/>
              </w:rPr>
            </w:pPr>
            <w:r>
              <w:rPr>
                <w:rFonts w:hint="default" w:ascii="Times New Roman" w:hAnsi="Times New Roman" w:eastAsia="宋体" w:cs="Times New Roman"/>
                <w:i w:val="0"/>
                <w:color w:val="000000"/>
                <w:kern w:val="0"/>
                <w:sz w:val="28"/>
                <w:szCs w:val="28"/>
                <w:u w:val="none"/>
                <w:lang w:val="en-US" w:eastAsia="zh-CN" w:bidi="ar"/>
              </w:rPr>
              <w:t>GB/T 19633.</w:t>
            </w:r>
            <w:r>
              <w:rPr>
                <w:rFonts w:hint="eastAsia" w:cs="Times New Roman"/>
                <w:i w:val="0"/>
                <w:color w:val="000000"/>
                <w:kern w:val="0"/>
                <w:sz w:val="28"/>
                <w:szCs w:val="28"/>
                <w:u w:val="none"/>
                <w:lang w:val="en-US" w:eastAsia="zh-CN" w:bidi="ar"/>
              </w:rPr>
              <w:t>2</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lang w:val="en-US" w:eastAsia="zh-CN" w:bidi="ar-SA"/>
              </w:rPr>
            </w:pPr>
            <w:r>
              <w:rPr>
                <w:rFonts w:hint="eastAsia" w:ascii="Times New Roman" w:hAnsi="Times New Roman" w:eastAsia="仿宋_GB2312" w:cs="Times New Roman"/>
                <w:i w:val="0"/>
                <w:color w:val="000000"/>
                <w:kern w:val="0"/>
                <w:sz w:val="28"/>
                <w:szCs w:val="28"/>
                <w:u w:val="none"/>
                <w:lang w:val="en-US" w:eastAsia="zh-CN" w:bidi="ar"/>
              </w:rPr>
              <w:t>《最终灭菌医疗器械包装 第</w:t>
            </w:r>
            <w:r>
              <w:rPr>
                <w:rFonts w:hint="eastAsia" w:eastAsia="仿宋_GB2312" w:cs="Times New Roman"/>
                <w:i w:val="0"/>
                <w:color w:val="000000"/>
                <w:kern w:val="0"/>
                <w:sz w:val="28"/>
                <w:szCs w:val="28"/>
                <w:u w:val="none"/>
                <w:lang w:val="en-US" w:eastAsia="zh-CN" w:bidi="ar"/>
              </w:rPr>
              <w:t>2</w:t>
            </w:r>
            <w:r>
              <w:rPr>
                <w:rFonts w:hint="eastAsia" w:ascii="Times New Roman" w:hAnsi="Times New Roman" w:eastAsia="仿宋_GB2312" w:cs="Times New Roman"/>
                <w:color w:val="000000"/>
                <w:kern w:val="0"/>
                <w:sz w:val="28"/>
                <w:szCs w:val="28"/>
                <w:lang w:val="en-US" w:eastAsia="zh-CN" w:bidi="ar"/>
              </w:rPr>
              <w:t>部分：</w:t>
            </w:r>
            <w:r>
              <w:rPr>
                <w:rFonts w:hint="eastAsia" w:eastAsia="仿宋_GB2312" w:cs="Times New Roman"/>
                <w:color w:val="000000"/>
                <w:kern w:val="0"/>
                <w:sz w:val="28"/>
                <w:szCs w:val="28"/>
                <w:lang w:val="en-US" w:eastAsia="zh-CN" w:bidi="ar"/>
              </w:rPr>
              <w:t>成形、密封和装配过程的确认的要求</w:t>
            </w:r>
            <w:r>
              <w:rPr>
                <w:rFonts w:hint="eastAsia" w:ascii="Times New Roman" w:hAnsi="Times New Roman" w:eastAsia="仿宋_GB2312" w:cs="Times New Roman"/>
                <w:color w:val="000000"/>
                <w:kern w:val="0"/>
                <w:sz w:val="28"/>
                <w:szCs w:val="2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sz w:val="28"/>
                <w:szCs w:val="28"/>
                <w:highlight w:val="none"/>
              </w:rPr>
            </w:pPr>
            <w:r>
              <w:rPr>
                <w:rFonts w:hint="default" w:ascii="Times New Roman" w:hAnsi="Times New Roman" w:eastAsia="宋体" w:cs="Times New Roman"/>
                <w:i w:val="0"/>
                <w:color w:val="000000"/>
                <w:kern w:val="0"/>
                <w:sz w:val="28"/>
                <w:szCs w:val="28"/>
                <w:u w:val="none"/>
                <w:lang w:val="en-US" w:eastAsia="zh-CN" w:bidi="ar"/>
              </w:rPr>
              <w:t>YY/T 0316</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color w:val="000000"/>
                <w:kern w:val="0"/>
                <w:sz w:val="28"/>
                <w:szCs w:val="28"/>
              </w:rPr>
            </w:pPr>
            <w:r>
              <w:rPr>
                <w:rFonts w:hint="eastAsia" w:ascii="Times New Roman" w:hAnsi="Times New Roman" w:eastAsia="仿宋_GB2312" w:cs="Times New Roman"/>
                <w:i w:val="0"/>
                <w:color w:val="000000"/>
                <w:kern w:val="0"/>
                <w:sz w:val="28"/>
                <w:szCs w:val="28"/>
                <w:u w:val="none"/>
                <w:lang w:val="en-US" w:eastAsia="zh-CN" w:bidi="ar"/>
              </w:rPr>
              <w:t>医疗器械风险管理对医疗器械的应用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839"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8"/>
                <w:szCs w:val="28"/>
                <w:u w:val="none"/>
                <w:lang w:val="en-US" w:eastAsia="zh-CN" w:bidi="ar"/>
              </w:rPr>
            </w:pPr>
            <w:r>
              <w:rPr>
                <w:rFonts w:hint="eastAsia" w:cs="Times New Roman"/>
                <w:i w:val="0"/>
                <w:color w:val="000000"/>
                <w:kern w:val="0"/>
                <w:sz w:val="28"/>
                <w:szCs w:val="28"/>
                <w:u w:val="none"/>
                <w:lang w:val="en-US" w:eastAsia="zh-CN" w:bidi="ar"/>
              </w:rPr>
              <w:t>YY/T1627</w:t>
            </w:r>
          </w:p>
        </w:tc>
        <w:tc>
          <w:tcPr>
            <w:tcW w:w="64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i w:val="0"/>
                <w:color w:val="000000"/>
                <w:kern w:val="0"/>
                <w:sz w:val="28"/>
                <w:szCs w:val="28"/>
                <w:u w:val="none"/>
                <w:lang w:val="en-US" w:eastAsia="zh-CN" w:bidi="ar"/>
              </w:rPr>
            </w:pPr>
            <w:r>
              <w:rPr>
                <w:rFonts w:hint="eastAsia" w:eastAsia="仿宋_GB2312" w:cs="Times New Roman"/>
                <w:i w:val="0"/>
                <w:color w:val="000000"/>
                <w:kern w:val="0"/>
                <w:sz w:val="28"/>
                <w:szCs w:val="28"/>
                <w:u w:val="none"/>
                <w:lang w:val="en-US" w:eastAsia="zh-CN" w:bidi="ar"/>
              </w:rPr>
              <w:t>急性创面用敷贴、创贴通用要求</w:t>
            </w:r>
          </w:p>
        </w:tc>
      </w:tr>
    </w:tbl>
    <w:p>
      <w:pPr>
        <w:keepNext w:val="0"/>
        <w:keepLines w:val="0"/>
        <w:pageBreakBefore w:val="0"/>
        <w:widowControl w:val="0"/>
        <w:kinsoku/>
        <w:wordWrap/>
        <w:overflowPunct/>
        <w:topLinePunct w:val="0"/>
        <w:autoSpaceDE/>
        <w:autoSpaceDN/>
        <w:bidi w:val="0"/>
        <w:adjustRightInd/>
        <w:snapToGrid/>
        <w:spacing w:before="312" w:beforeLines="100" w:line="520" w:lineRule="exact"/>
        <w:ind w:firstLine="640" w:firstLineChars="200"/>
        <w:textAlignment w:val="auto"/>
        <w:rPr>
          <w:rStyle w:val="39"/>
          <w:rFonts w:hint="default" w:ascii="Times New Roman" w:hAnsi="Times New Roman" w:eastAsia="仿宋_GB2312" w:cs="Times New Roman"/>
          <w:color w:val="000000"/>
          <w:sz w:val="32"/>
        </w:rPr>
      </w:pPr>
      <w:r>
        <w:rPr>
          <w:rStyle w:val="39"/>
          <w:rFonts w:hint="default" w:ascii="Times New Roman" w:hAnsi="Times New Roman" w:eastAsia="仿宋_GB2312" w:cs="Times New Roman"/>
          <w:color w:val="000000"/>
          <w:sz w:val="32"/>
        </w:rPr>
        <w:t>上述标准包括了产品技术要求中经常涉及到的标准。申请人需要根据产品的特点引用以上标准中适用的标准，特殊需要时也可以引用其他标准。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如有新版国家标准、行业标准发布实施，产品性能指标等要求应执行最新版本的国家标准、行业标准。</w:t>
      </w:r>
    </w:p>
    <w:p>
      <w:pPr>
        <w:pStyle w:val="4"/>
        <w:bidi w:val="0"/>
      </w:pPr>
      <w:r>
        <w:rPr>
          <w:rFonts w:hint="eastAsia"/>
          <w:lang w:val="en-US" w:eastAsia="zh-CN"/>
        </w:rPr>
        <w:t>4.</w:t>
      </w:r>
      <w:r>
        <w:t>同一注册单元内注册检验典型性产品确定原则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若申报的产品包括多个型号，产品检验选取的典型性型号应当能代表本注册单元内其它产品的安全性和有效性，并说明典型性型号选择的依据</w:t>
      </w:r>
      <w:r>
        <w:rPr>
          <w:rFonts w:hint="eastAsia" w:ascii="Times New Roman" w:hAnsi="Times New Roman" w:eastAsia="仿宋_GB2312" w:cs="Times New Roman"/>
          <w:color w:val="000000"/>
          <w:sz w:val="32"/>
          <w:szCs w:val="32"/>
          <w:lang w:eastAsia="zh-CN"/>
        </w:rPr>
        <w:t>。应对</w:t>
      </w:r>
      <w:r>
        <w:rPr>
          <w:rFonts w:hint="eastAsia" w:ascii="Times New Roman" w:hAnsi="Times New Roman" w:eastAsia="仿宋_GB2312" w:cs="Times New Roman"/>
          <w:color w:val="000000"/>
          <w:sz w:val="32"/>
          <w:szCs w:val="32"/>
        </w:rPr>
        <w:t>典型性型号</w:t>
      </w:r>
      <w:r>
        <w:rPr>
          <w:rFonts w:hint="eastAsia" w:ascii="Times New Roman" w:hAnsi="Times New Roman" w:eastAsia="仿宋_GB2312" w:cs="Times New Roman"/>
          <w:color w:val="000000"/>
          <w:sz w:val="32"/>
          <w:szCs w:val="32"/>
          <w:lang w:eastAsia="zh-CN"/>
        </w:rPr>
        <w:t>规格产品进行全性能检验</w:t>
      </w:r>
      <w:r>
        <w:rPr>
          <w:rFonts w:hint="eastAsia" w:ascii="Times New Roman" w:hAnsi="Times New Roman" w:eastAsia="仿宋_GB2312" w:cs="Times New Roman"/>
          <w:color w:val="000000"/>
          <w:sz w:val="32"/>
          <w:szCs w:val="32"/>
        </w:rPr>
        <w:t>，具有差异的产品</w:t>
      </w:r>
      <w:r>
        <w:rPr>
          <w:rFonts w:hint="eastAsia" w:ascii="Times New Roman" w:hAnsi="Times New Roman" w:eastAsia="仿宋_GB2312" w:cs="Times New Roman"/>
          <w:color w:val="000000"/>
          <w:sz w:val="32"/>
          <w:szCs w:val="32"/>
          <w:lang w:eastAsia="zh-CN"/>
        </w:rPr>
        <w:t>应</w:t>
      </w:r>
      <w:r>
        <w:rPr>
          <w:rFonts w:hint="eastAsia" w:ascii="Times New Roman" w:hAnsi="Times New Roman" w:eastAsia="仿宋_GB2312" w:cs="Times New Roman"/>
          <w:color w:val="000000"/>
          <w:sz w:val="32"/>
          <w:szCs w:val="32"/>
        </w:rPr>
        <w:t>进行差异性检测。例</w:t>
      </w:r>
      <w:r>
        <w:rPr>
          <w:rFonts w:hint="eastAsia" w:ascii="Times New Roman" w:hAnsi="Times New Roman" w:eastAsia="仿宋_GB2312" w:cs="Times New Roman"/>
          <w:color w:val="000000"/>
          <w:sz w:val="32"/>
          <w:szCs w:val="32"/>
          <w:lang w:eastAsia="zh-CN"/>
        </w:rPr>
        <w:t>如</w:t>
      </w:r>
      <w:r>
        <w:rPr>
          <w:rFonts w:hint="eastAsia" w:ascii="Times New Roman" w:hAnsi="Times New Roman" w:eastAsia="仿宋_GB2312" w:cs="Times New Roman"/>
          <w:color w:val="00000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非慢性创面敷贴按是否带有涂胶基材</w:t>
      </w:r>
      <w:r>
        <w:rPr>
          <w:rFonts w:hint="eastAsia" w:ascii="Times New Roman" w:hAnsi="Times New Roman" w:eastAsia="仿宋_GB2312" w:cs="Times New Roman"/>
          <w:color w:val="000000"/>
          <w:sz w:val="32"/>
          <w:szCs w:val="32"/>
          <w:lang w:eastAsia="zh-CN"/>
        </w:rPr>
        <w:t>划分为不同的型号，应选择带有涂胶基材的产品作为典型样品。</w:t>
      </w:r>
    </w:p>
    <w:p>
      <w:pPr>
        <w:pStyle w:val="3"/>
        <w:pageBreakBefore w:val="0"/>
        <w:widowControl w:val="0"/>
        <w:kinsoku/>
        <w:wordWrap/>
        <w:overflowPunct/>
        <w:topLinePunct w:val="0"/>
        <w:bidi w:val="0"/>
        <w:snapToGrid/>
        <w:spacing w:line="520" w:lineRule="exact"/>
        <w:textAlignment w:val="auto"/>
        <w:rPr>
          <w:rFonts w:hint="eastAsia"/>
          <w:lang w:val="en-US" w:eastAsia="zh-CN"/>
        </w:rPr>
      </w:pPr>
      <w:r>
        <w:rPr>
          <w:rFonts w:hint="eastAsia"/>
          <w:lang w:val="en-US" w:eastAsia="zh-CN"/>
        </w:rPr>
        <w:t>（四）临床评价资料</w:t>
      </w:r>
    </w:p>
    <w:p>
      <w:pPr>
        <w:pageBreakBefore w:val="0"/>
        <w:widowControl w:val="0"/>
        <w:tabs>
          <w:tab w:val="left" w:pos="312"/>
        </w:tabs>
        <w:kinsoku/>
        <w:wordWrap/>
        <w:overflowPunct/>
        <w:topLinePunct w:val="0"/>
        <w:bidi w:val="0"/>
        <w:snapToGrid/>
        <w:spacing w:line="520" w:lineRule="exact"/>
        <w:ind w:firstLine="640" w:firstLineChars="200"/>
        <w:textAlignment w:val="auto"/>
        <w:rPr>
          <w:rFonts w:hint="eastAsia" w:ascii="Times New Roman" w:hAnsi="Times New Roman" w:eastAsia="楷体_GB2312" w:cs="Times New Roman"/>
          <w:sz w:val="32"/>
          <w:szCs w:val="32"/>
        </w:rPr>
      </w:pPr>
      <w:r>
        <w:rPr>
          <w:rFonts w:hint="eastAsia" w:eastAsia="仿宋_GB2312"/>
          <w:color w:val="000000"/>
          <w:sz w:val="32"/>
          <w:szCs w:val="32"/>
        </w:rPr>
        <w:t>该产品</w:t>
      </w:r>
      <w:r>
        <w:rPr>
          <w:rFonts w:eastAsia="仿宋_GB2312"/>
          <w:color w:val="000000"/>
          <w:sz w:val="32"/>
          <w:szCs w:val="32"/>
        </w:rPr>
        <w:t>列入《</w:t>
      </w:r>
      <w:r>
        <w:rPr>
          <w:rFonts w:hint="eastAsia" w:eastAsia="仿宋_GB2312"/>
          <w:color w:val="000000"/>
          <w:sz w:val="32"/>
          <w:szCs w:val="32"/>
        </w:rPr>
        <w:t>免于临床评价医疗器械目录</w:t>
      </w:r>
      <w:r>
        <w:rPr>
          <w:rFonts w:eastAsia="仿宋_GB2312"/>
          <w:color w:val="000000"/>
          <w:sz w:val="32"/>
          <w:szCs w:val="32"/>
        </w:rPr>
        <w:t>》</w:t>
      </w:r>
      <w:r>
        <w:rPr>
          <w:rFonts w:hint="eastAsia" w:eastAsia="仿宋_GB2312"/>
          <w:color w:val="000000"/>
          <w:sz w:val="32"/>
          <w:szCs w:val="32"/>
        </w:rPr>
        <w:t>，申请人</w:t>
      </w:r>
      <w:r>
        <w:rPr>
          <w:rFonts w:eastAsia="仿宋_GB2312"/>
          <w:color w:val="000000"/>
          <w:sz w:val="32"/>
          <w:szCs w:val="32"/>
        </w:rPr>
        <w:t>无需提交</w:t>
      </w:r>
      <w:r>
        <w:rPr>
          <w:rFonts w:hint="eastAsia" w:eastAsia="仿宋_GB2312"/>
          <w:color w:val="000000"/>
          <w:sz w:val="32"/>
          <w:szCs w:val="32"/>
        </w:rPr>
        <w:t>临床</w:t>
      </w:r>
      <w:r>
        <w:rPr>
          <w:rFonts w:eastAsia="仿宋_GB2312"/>
          <w:color w:val="000000"/>
          <w:sz w:val="32"/>
          <w:szCs w:val="32"/>
        </w:rPr>
        <w:t>评价资料。</w:t>
      </w:r>
    </w:p>
    <w:p>
      <w:pPr>
        <w:pStyle w:val="3"/>
        <w:pageBreakBefore w:val="0"/>
        <w:widowControl w:val="0"/>
        <w:kinsoku/>
        <w:wordWrap/>
        <w:overflowPunct/>
        <w:topLinePunct w:val="0"/>
        <w:bidi w:val="0"/>
        <w:snapToGrid/>
        <w:spacing w:line="520" w:lineRule="exact"/>
        <w:textAlignment w:val="auto"/>
        <w:rPr>
          <w:rFonts w:hint="eastAsia"/>
          <w:lang w:eastAsia="zh-CN"/>
        </w:rPr>
      </w:pPr>
      <w:r>
        <w:rPr>
          <w:rFonts w:hint="eastAsia"/>
          <w:lang w:eastAsia="zh-CN"/>
        </w:rPr>
        <w:t>（五）产</w:t>
      </w:r>
      <w:r>
        <w:t>品说明书和标签要求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bookmarkStart w:id="4" w:name="_Toc432753647"/>
      <w:r>
        <w:rPr>
          <w:rFonts w:hint="eastAsia" w:ascii="Times New Roman" w:hAnsi="Times New Roman" w:eastAsia="仿宋_GB2312" w:cs="Times New Roman"/>
          <w:color w:val="000000"/>
          <w:sz w:val="32"/>
          <w:szCs w:val="32"/>
        </w:rPr>
        <w:t xml:space="preserve">产品说明书、标签应当符合《医疗器械说明书和标签管理规定》、YY/T 0466.1《医疗器械 用于医疗器械标签、标记和提供信息的符号 第1部分：通用要求》的要求。同时包装信息可参考YY/T </w:t>
      </w:r>
      <w:r>
        <w:rPr>
          <w:rFonts w:hint="eastAsia" w:ascii="Times New Roman" w:hAnsi="Times New Roman" w:eastAsia="仿宋_GB2312" w:cs="Times New Roman"/>
          <w:color w:val="000000"/>
          <w:sz w:val="32"/>
          <w:szCs w:val="32"/>
          <w:lang w:val="en-US" w:eastAsia="zh-CN"/>
        </w:rPr>
        <w:t>1627</w:t>
      </w:r>
      <w:r>
        <w:rPr>
          <w:rFonts w:hint="eastAsia" w:ascii="Times New Roman" w:hAnsi="Times New Roman" w:eastAsia="仿宋_GB2312" w:cs="Times New Roman"/>
          <w:color w:val="000000"/>
          <w:sz w:val="32"/>
          <w:szCs w:val="32"/>
          <w:lang w:eastAsia="zh-CN"/>
        </w:rPr>
        <w:t>《急性创面用敷贴、创贴通用要求》</w:t>
      </w:r>
      <w:r>
        <w:rPr>
          <w:rFonts w:hint="eastAsia" w:ascii="Times New Roman" w:hAnsi="Times New Roman" w:eastAsia="仿宋_GB2312" w:cs="Times New Roman"/>
          <w:color w:val="000000"/>
          <w:sz w:val="32"/>
          <w:szCs w:val="32"/>
        </w:rPr>
        <w:t>标准中适用部分。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eastAsia="zh-CN"/>
        </w:rPr>
        <w:t>说明书中关于产品性能特征的描述不应超出研究资料及产品技术要求，不得含有未经验证的夸大宣传的相关描述；储存和运输条件不应超出产品货架有效期验证范围。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注意事项应包括以下内容：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rPr>
        <w:t>使用前首先阅读说明书，了解使用方法</w:t>
      </w:r>
      <w:r>
        <w:rPr>
          <w:rFonts w:hint="eastAsia" w:ascii="Times New Roman" w:hAnsi="Times New Roman" w:eastAsia="仿宋_GB2312" w:cs="Times New Roman"/>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rPr>
        <w:t>包装如有破损、脏污、潮湿等异常情况禁止使用；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rPr>
        <w:t>产品</w:t>
      </w:r>
      <w:r>
        <w:rPr>
          <w:rFonts w:hint="eastAsia" w:ascii="Times New Roman" w:hAnsi="Times New Roman" w:eastAsia="仿宋_GB2312" w:cs="Times New Roman"/>
          <w:color w:val="000000"/>
          <w:sz w:val="32"/>
          <w:szCs w:val="32"/>
          <w:lang w:eastAsia="zh-CN"/>
        </w:rPr>
        <w:t>经</w:t>
      </w:r>
      <w:r>
        <w:rPr>
          <w:rFonts w:hint="eastAsia" w:ascii="Times New Roman" w:hAnsi="Times New Roman" w:eastAsia="仿宋_GB2312" w:cs="Times New Roman"/>
          <w:color w:val="000000"/>
          <w:sz w:val="32"/>
          <w:szCs w:val="32"/>
        </w:rPr>
        <w:t>环氧乙烷</w:t>
      </w:r>
      <w:r>
        <w:rPr>
          <w:rFonts w:hint="eastAsia" w:ascii="Times New Roman" w:hAnsi="Times New Roman" w:eastAsia="仿宋_GB2312" w:cs="Times New Roman"/>
          <w:color w:val="000000"/>
          <w:sz w:val="32"/>
          <w:szCs w:val="32"/>
          <w:lang w:eastAsia="zh-CN"/>
        </w:rPr>
        <w:t>或辐照</w:t>
      </w:r>
      <w:r>
        <w:rPr>
          <w:rFonts w:hint="eastAsia" w:ascii="Times New Roman" w:hAnsi="Times New Roman" w:eastAsia="仿宋_GB2312" w:cs="Times New Roman"/>
          <w:color w:val="000000"/>
          <w:sz w:val="32"/>
          <w:szCs w:val="32"/>
        </w:rPr>
        <w:t>灭菌，一次性使用；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本产品预期使用的时间限制；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5.应明确本产品最长累积使用时间；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6.产品为单独敷垫，</w:t>
      </w:r>
      <w:r>
        <w:rPr>
          <w:rFonts w:hint="eastAsia" w:ascii="Times New Roman" w:hAnsi="Times New Roman" w:eastAsia="仿宋_GB2312" w:cs="Times New Roman"/>
          <w:color w:val="000000"/>
          <w:sz w:val="32"/>
          <w:szCs w:val="32"/>
          <w:lang w:eastAsia="zh-CN"/>
        </w:rPr>
        <w:t>如</w:t>
      </w:r>
      <w:r>
        <w:rPr>
          <w:rFonts w:hint="eastAsia" w:ascii="Times New Roman" w:hAnsi="Times New Roman" w:eastAsia="仿宋_GB2312" w:cs="Times New Roman"/>
          <w:color w:val="000000"/>
          <w:sz w:val="32"/>
          <w:szCs w:val="32"/>
        </w:rPr>
        <w:t>需要配合其他产品使用</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应详细阐明所申报产品应用于患者时具体的操作步骤</w:t>
      </w:r>
      <w:r>
        <w:rPr>
          <w:rFonts w:hint="eastAsia" w:ascii="Times New Roman" w:hAnsi="Times New Roman" w:eastAsia="仿宋_GB2312" w:cs="Times New Roman"/>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7.</w:t>
      </w:r>
      <w:r>
        <w:rPr>
          <w:rFonts w:hint="eastAsia" w:ascii="Times New Roman" w:hAnsi="Times New Roman" w:eastAsia="仿宋_GB2312" w:cs="Times New Roman"/>
          <w:color w:val="000000"/>
          <w:sz w:val="32"/>
          <w:szCs w:val="32"/>
          <w:lang w:eastAsia="zh-CN"/>
        </w:rPr>
        <w:t>不得使用本品来代替缝合或其他初级伤口闭合术。</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8.</w:t>
      </w:r>
      <w:r>
        <w:rPr>
          <w:rFonts w:hint="eastAsia" w:ascii="Times New Roman" w:hAnsi="Times New Roman" w:eastAsia="仿宋_GB2312" w:cs="Times New Roman"/>
          <w:color w:val="000000"/>
          <w:sz w:val="32"/>
          <w:szCs w:val="32"/>
        </w:rPr>
        <w:t>在说明书中明确产品的禁忌症、针对产品特点的特殊注意事项、警示信息、可能的不良反应及处理措施等，如对产品中所含成分过敏的患者不能使用等。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9</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创口贴对于未经消毒或缝合创面仅为临时使用，受伤后尽快至医疗机构处理。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rPr>
        <w:t>其他应载明的内容。</w:t>
      </w:r>
    </w:p>
    <w:p>
      <w:pPr>
        <w:pStyle w:val="3"/>
        <w:bidi w:val="0"/>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lang w:val="en"/>
        </w:rPr>
        <w:t>（</w:t>
      </w:r>
      <w:r>
        <w:rPr>
          <w:rFonts w:hint="default" w:ascii="Times New Roman" w:hAnsi="Times New Roman" w:eastAsia="楷体_GB2312" w:cs="Times New Roman"/>
          <w:color w:val="000000"/>
          <w:sz w:val="32"/>
          <w:szCs w:val="32"/>
        </w:rPr>
        <w:t>六）质量管理体系</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提供生产制造的质控信息，应关注工艺参数等应与研究验证内容保持一致。可参考以下内容：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1.明确生产工艺流程，注明关键工艺和特殊工艺，并说明其过程控制点。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2.基本情况介绍、位置图、生产车间平面图、主要生产设备、主要检验设备、相关人员信息等内容。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3.有多个研制、生产场地，应当概述每个研制、生产场地的实际情况，相关的生产环境应符合《医疗器械生产质量管理规范》的相关要求。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4.详细说明产品生产工艺过程及其确定的依据、质量控制标准；确认关键工艺点并阐明其对产品物理性能、化学性能、生物性能的影响；确认生产工艺的稳定性。</w:t>
      </w:r>
    </w:p>
    <w:p>
      <w:pPr>
        <w:pStyle w:val="2"/>
        <w:bidi w:val="0"/>
        <w:rPr>
          <w:rFonts w:hint="eastAsia"/>
        </w:rPr>
      </w:pPr>
      <w:bookmarkStart w:id="5" w:name="_Toc354585110"/>
      <w:r>
        <w:t>三、</w:t>
      </w:r>
      <w:bookmarkEnd w:id="5"/>
      <w:r>
        <w:rPr>
          <w:rFonts w:hint="eastAsia"/>
        </w:rPr>
        <w:t>审查关注点</w:t>
      </w:r>
    </w:p>
    <w:p>
      <w:pPr>
        <w:pStyle w:val="3"/>
        <w:bidi w:val="0"/>
        <w:rPr>
          <w:rFonts w:hint="eastAsia"/>
        </w:rPr>
      </w:pPr>
      <w:r>
        <w:rPr>
          <w:rFonts w:hint="eastAsia"/>
        </w:rPr>
        <w:t>（一）产品技术要求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应关注非慢性创面敷贴产品技术要求编写的规范性，引用标准的适用性、准确性；应关注企业是否根据宣称的特殊性能、技术特点制定相关的性能指标要求。</w:t>
      </w:r>
    </w:p>
    <w:p>
      <w:pPr>
        <w:pStyle w:val="3"/>
        <w:bidi w:val="0"/>
        <w:rPr>
          <w:rFonts w:hint="eastAsia"/>
        </w:rPr>
      </w:pPr>
      <w:r>
        <w:rPr>
          <w:rFonts w:hint="eastAsia"/>
        </w:rPr>
        <w:t>（二）产品说明书要求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应关注说明书是否有未经验证的夸大宣传的相关描述，是否存在豁免临床目录之外的预期用途。</w:t>
      </w:r>
    </w:p>
    <w:p>
      <w:pPr>
        <w:pStyle w:val="3"/>
        <w:bidi w:val="0"/>
        <w:rPr>
          <w:rFonts w:hint="eastAsia"/>
        </w:rPr>
      </w:pPr>
      <w:r>
        <w:rPr>
          <w:rFonts w:hint="eastAsia"/>
        </w:rPr>
        <w:t>（三）产品风险分析资料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应关注产品的主要风险是否已经列举，并通过风险控制措施使产品的剩余风险在合理可接受的程度之内。</w:t>
      </w:r>
    </w:p>
    <w:p>
      <w:pPr>
        <w:pStyle w:val="3"/>
        <w:bidi w:val="0"/>
        <w:rPr>
          <w:rFonts w:hint="eastAsia"/>
        </w:rPr>
      </w:pPr>
      <w:r>
        <w:rPr>
          <w:rFonts w:hint="eastAsia"/>
        </w:rPr>
        <w:t>（四）注册检测的典型产品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应关注注册检测产品是否能够代表本注册单元内其他产品安全性和有效性。</w:t>
      </w:r>
      <w:bookmarkEnd w:id="0"/>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spacing w:line="540" w:lineRule="exact"/>
        <w:ind w:firstLine="600" w:firstLineChars="200"/>
        <w:outlineLvl w:val="0"/>
        <w:rPr>
          <w:rFonts w:hint="eastAsia" w:ascii="仿宋" w:hAnsi="仿宋" w:eastAsia="仿宋" w:cs="仿宋"/>
          <w:color w:val="000000"/>
          <w:sz w:val="30"/>
          <w:szCs w:val="30"/>
          <w:highlight w:val="none"/>
        </w:rPr>
      </w:pPr>
    </w:p>
    <w:p>
      <w:pPr>
        <w:overflowPunct w:val="0"/>
        <w:autoSpaceDE w:val="0"/>
        <w:autoSpaceDN w:val="0"/>
        <w:spacing w:line="560" w:lineRule="exact"/>
        <w:outlineLvl w:val="0"/>
        <w:rPr>
          <w:rFonts w:hint="eastAsia" w:ascii="黑体" w:hAnsi="黑体" w:eastAsia="黑体" w:cs="黑体"/>
          <w:snapToGrid w:val="0"/>
          <w:kern w:val="0"/>
          <w:sz w:val="32"/>
          <w:szCs w:val="32"/>
          <w:lang w:val="en-US" w:eastAsia="zh-CN"/>
        </w:rPr>
      </w:pPr>
      <w:bookmarkStart w:id="6" w:name="_Hlk6949826"/>
      <w:r>
        <w:rPr>
          <w:rFonts w:hint="eastAsia" w:ascii="黑体" w:hAnsi="黑体" w:eastAsia="黑体" w:cs="黑体"/>
          <w:snapToGrid w:val="0"/>
          <w:kern w:val="0"/>
          <w:sz w:val="32"/>
          <w:szCs w:val="32"/>
        </w:rPr>
        <w:t>附</w:t>
      </w:r>
      <w:r>
        <w:rPr>
          <w:rFonts w:hint="eastAsia" w:ascii="黑体" w:hAnsi="黑体" w:eastAsia="黑体" w:cs="黑体"/>
          <w:snapToGrid w:val="0"/>
          <w:kern w:val="0"/>
          <w:sz w:val="32"/>
          <w:szCs w:val="32"/>
          <w:lang w:eastAsia="zh-CN"/>
        </w:rPr>
        <w:t>录</w:t>
      </w:r>
      <w:r>
        <w:rPr>
          <w:rFonts w:hint="eastAsia" w:ascii="黑体" w:hAnsi="黑体" w:eastAsia="黑体" w:cs="黑体"/>
          <w:snapToGrid w:val="0"/>
          <w:kern w:val="0"/>
          <w:sz w:val="32"/>
          <w:szCs w:val="32"/>
          <w:lang w:val="en-US" w:eastAsia="zh-CN"/>
        </w:rPr>
        <w:t>A</w:t>
      </w:r>
    </w:p>
    <w:p>
      <w:pPr>
        <w:overflowPunct w:val="0"/>
        <w:autoSpaceDE w:val="0"/>
        <w:autoSpaceDN w:val="0"/>
        <w:spacing w:line="560" w:lineRule="exact"/>
        <w:outlineLvl w:val="0"/>
        <w:rPr>
          <w:rFonts w:eastAsia="方正小标宋简体"/>
          <w:snapToGrid w:val="0"/>
          <w:kern w:val="0"/>
          <w:sz w:val="44"/>
          <w:szCs w:val="44"/>
          <w:lang w:val="zh-CN"/>
        </w:rPr>
      </w:pPr>
    </w:p>
    <w:p>
      <w:pPr>
        <w:overflowPunct w:val="0"/>
        <w:autoSpaceDE w:val="0"/>
        <w:autoSpaceDN w:val="0"/>
        <w:spacing w:line="560" w:lineRule="exact"/>
        <w:jc w:val="center"/>
        <w:outlineLvl w:val="0"/>
        <w:rPr>
          <w:rFonts w:eastAsia="方正小标宋简体"/>
          <w:snapToGrid w:val="0"/>
          <w:kern w:val="0"/>
          <w:sz w:val="44"/>
          <w:szCs w:val="44"/>
          <w:lang w:val="zh-CN"/>
        </w:rPr>
      </w:pPr>
      <w:r>
        <w:rPr>
          <w:rFonts w:eastAsia="方正小标宋简体"/>
          <w:snapToGrid w:val="0"/>
          <w:kern w:val="0"/>
          <w:sz w:val="44"/>
          <w:szCs w:val="44"/>
          <w:lang w:val="zh-CN"/>
        </w:rPr>
        <w:t>风险管理文档</w:t>
      </w:r>
      <w:bookmarkEnd w:id="6"/>
    </w:p>
    <w:p>
      <w:pPr>
        <w:overflowPunct w:val="0"/>
        <w:autoSpaceDE w:val="0"/>
        <w:autoSpaceDN w:val="0"/>
        <w:spacing w:line="560" w:lineRule="exact"/>
        <w:ind w:firstLine="880" w:firstLineChars="200"/>
        <w:jc w:val="center"/>
        <w:outlineLvl w:val="0"/>
        <w:rPr>
          <w:rFonts w:eastAsia="方正小标宋简体"/>
          <w:snapToGrid w:val="0"/>
          <w:kern w:val="0"/>
          <w:sz w:val="44"/>
          <w:szCs w:val="44"/>
          <w:lang w:val="zh-CN"/>
        </w:rPr>
      </w:pPr>
    </w:p>
    <w:p>
      <w:pPr>
        <w:pStyle w:val="30"/>
        <w:keepNext w:val="0"/>
        <w:keepLines w:val="0"/>
        <w:pageBreakBefore w:val="0"/>
        <w:numPr>
          <w:ilvl w:val="0"/>
          <w:numId w:val="2"/>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kern w:val="0"/>
          <w:sz w:val="32"/>
          <w:szCs w:val="32"/>
          <w:lang w:val="zh-CN"/>
        </w:rPr>
      </w:pPr>
      <w:r>
        <w:rPr>
          <w:rFonts w:ascii="Times New Roman" w:hAnsi="Times New Roman" w:eastAsia="黑体"/>
          <w:snapToGrid w:val="0"/>
          <w:kern w:val="0"/>
          <w:sz w:val="32"/>
          <w:szCs w:val="32"/>
        </w:rPr>
        <w:t>申报产品的风险管理组织</w:t>
      </w:r>
    </w:p>
    <w:p>
      <w:pPr>
        <w:keepNext w:val="0"/>
        <w:keepLines w:val="0"/>
        <w:pageBreakBefore w:val="0"/>
        <w:kinsoku/>
        <w:wordWrap/>
        <w:overflowPunct w:val="0"/>
        <w:topLinePunct w:val="0"/>
        <w:autoSpaceDE w:val="0"/>
        <w:autoSpaceDN w:val="0"/>
        <w:bidi w:val="0"/>
        <w:snapToGrid/>
        <w:spacing w:line="520" w:lineRule="exact"/>
        <w:ind w:firstLine="640" w:firstLineChars="200"/>
        <w:textAlignment w:val="auto"/>
        <w:rPr>
          <w:rFonts w:eastAsia="仿宋_GB2312"/>
          <w:snapToGrid w:val="0"/>
          <w:kern w:val="0"/>
          <w:sz w:val="32"/>
          <w:szCs w:val="32"/>
        </w:rPr>
      </w:pPr>
      <w:r>
        <w:rPr>
          <w:rFonts w:eastAsia="仿宋_GB2312"/>
          <w:snapToGrid w:val="0"/>
          <w:kern w:val="0"/>
          <w:sz w:val="32"/>
          <w:szCs w:val="32"/>
        </w:rPr>
        <w:t>由申请人成立申报产品的风险管理小组。列出组长、组员姓名、职务及责任范围。管理组成员应具有与管理任务相适应的知识和经验。</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rPr>
      </w:pPr>
      <w:r>
        <w:rPr>
          <w:rFonts w:eastAsia="仿宋_GB2312"/>
          <w:snapToGrid w:val="0"/>
          <w:kern w:val="0"/>
          <w:sz w:val="32"/>
          <w:szCs w:val="32"/>
        </w:rPr>
        <w:t>风险管理小组负责风险分析、风险评估、风险管理报告的编写，接受有关方面的查询并对报告的内容负责。</w:t>
      </w:r>
    </w:p>
    <w:p>
      <w:pPr>
        <w:pStyle w:val="30"/>
        <w:keepNext w:val="0"/>
        <w:keepLines w:val="0"/>
        <w:pageBreakBefore w:val="0"/>
        <w:numPr>
          <w:ilvl w:val="0"/>
          <w:numId w:val="2"/>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kern w:val="0"/>
          <w:sz w:val="32"/>
          <w:szCs w:val="32"/>
          <w:lang w:val="zh-CN"/>
        </w:rPr>
      </w:pPr>
      <w:r>
        <w:rPr>
          <w:rFonts w:ascii="Times New Roman" w:hAnsi="Times New Roman" w:eastAsia="黑体"/>
          <w:snapToGrid w:val="0"/>
          <w:kern w:val="0"/>
          <w:sz w:val="32"/>
          <w:szCs w:val="32"/>
          <w:lang w:val="zh-CN"/>
        </w:rPr>
        <w:t>申报</w:t>
      </w:r>
      <w:r>
        <w:rPr>
          <w:rFonts w:ascii="Times New Roman" w:hAnsi="Times New Roman" w:eastAsia="黑体"/>
          <w:snapToGrid w:val="0"/>
          <w:kern w:val="0"/>
          <w:sz w:val="32"/>
          <w:szCs w:val="32"/>
        </w:rPr>
        <w:t>产品</w:t>
      </w:r>
      <w:r>
        <w:rPr>
          <w:rFonts w:ascii="Times New Roman" w:hAnsi="Times New Roman" w:eastAsia="黑体"/>
          <w:snapToGrid w:val="0"/>
          <w:kern w:val="0"/>
          <w:sz w:val="32"/>
          <w:szCs w:val="32"/>
          <w:lang w:val="zh-CN"/>
        </w:rPr>
        <w:t>组成</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r>
        <w:rPr>
          <w:rFonts w:eastAsia="仿宋_GB2312"/>
          <w:snapToGrid w:val="0"/>
          <w:kern w:val="0"/>
          <w:sz w:val="32"/>
          <w:szCs w:val="32"/>
          <w:lang w:val="zh-CN"/>
        </w:rPr>
        <w:t>明确申报产品的具体组成。</w:t>
      </w:r>
    </w:p>
    <w:p>
      <w:pPr>
        <w:pStyle w:val="30"/>
        <w:keepNext w:val="0"/>
        <w:keepLines w:val="0"/>
        <w:pageBreakBefore w:val="0"/>
        <w:numPr>
          <w:ilvl w:val="0"/>
          <w:numId w:val="2"/>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kern w:val="0"/>
          <w:sz w:val="32"/>
          <w:szCs w:val="32"/>
        </w:rPr>
        <w:t>产品</w:t>
      </w:r>
      <w:r>
        <w:rPr>
          <w:rFonts w:ascii="Times New Roman" w:hAnsi="Times New Roman" w:eastAsia="黑体"/>
          <w:snapToGrid w:val="0"/>
          <w:color w:val="000000"/>
          <w:kern w:val="0"/>
          <w:sz w:val="32"/>
          <w:szCs w:val="32"/>
          <w:lang w:val="zh-CN"/>
        </w:rPr>
        <w:t>预期用途和与安全性有关特征的判定</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申请人应按“</w:t>
      </w:r>
      <w:r>
        <w:rPr>
          <w:rFonts w:eastAsia="仿宋_GB2312"/>
          <w:snapToGrid w:val="0"/>
          <w:kern w:val="0"/>
          <w:sz w:val="32"/>
          <w:szCs w:val="32"/>
          <w:lang w:val="zh-CN"/>
        </w:rPr>
        <w:t>医疗</w:t>
      </w:r>
      <w:r>
        <w:rPr>
          <w:rFonts w:eastAsia="仿宋_GB2312"/>
          <w:snapToGrid w:val="0"/>
          <w:color w:val="000000"/>
          <w:kern w:val="0"/>
          <w:sz w:val="32"/>
          <w:szCs w:val="32"/>
          <w:lang w:val="zh-CN"/>
        </w:rPr>
        <w:t>器械风险管理标准”附录C的34条提示，对照申报产品的实际情况作针对性的简明描述，如：</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对C.2.1：可说明申报产品的预期用途。</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对C.2.3：是否与患者和其他人员接触？应说明申报产品与患者和操作人员接触的</w:t>
      </w:r>
      <w:r>
        <w:rPr>
          <w:rFonts w:hint="eastAsia" w:eastAsia="仿宋_GB2312"/>
          <w:snapToGrid w:val="0"/>
          <w:color w:val="000000"/>
          <w:kern w:val="0"/>
          <w:sz w:val="32"/>
          <w:szCs w:val="32"/>
          <w:lang w:val="zh-CN"/>
        </w:rPr>
        <w:t>部分</w:t>
      </w:r>
      <w:r>
        <w:rPr>
          <w:rFonts w:eastAsia="仿宋_GB2312"/>
          <w:snapToGrid w:val="0"/>
          <w:color w:val="000000"/>
          <w:kern w:val="0"/>
          <w:sz w:val="32"/>
          <w:szCs w:val="32"/>
          <w:lang w:val="zh-CN"/>
        </w:rPr>
        <w:t>，接触性质。</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对C.2.4及以下30项提示，应根据申报产品的实际情况逐条回答。</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申报产品如存在</w:t>
      </w:r>
      <w:r>
        <w:rPr>
          <w:rFonts w:eastAsia="仿宋_GB2312"/>
          <w:snapToGrid w:val="0"/>
          <w:kern w:val="0"/>
          <w:sz w:val="32"/>
          <w:szCs w:val="32"/>
          <w:lang w:val="zh-CN"/>
        </w:rPr>
        <w:t>34</w:t>
      </w:r>
      <w:r>
        <w:rPr>
          <w:rFonts w:eastAsia="仿宋_GB2312"/>
          <w:snapToGrid w:val="0"/>
          <w:color w:val="000000"/>
          <w:kern w:val="0"/>
          <w:sz w:val="32"/>
          <w:szCs w:val="32"/>
          <w:lang w:val="zh-CN"/>
        </w:rPr>
        <w:t>条提示以外的可能影响安全性的特征，也应做出说明。</w:t>
      </w:r>
    </w:p>
    <w:p>
      <w:pPr>
        <w:pStyle w:val="30"/>
        <w:keepNext w:val="0"/>
        <w:keepLines w:val="0"/>
        <w:pageBreakBefore w:val="0"/>
        <w:numPr>
          <w:ilvl w:val="0"/>
          <w:numId w:val="2"/>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color w:val="000000"/>
          <w:kern w:val="0"/>
          <w:sz w:val="32"/>
          <w:szCs w:val="32"/>
          <w:lang w:val="zh-CN"/>
        </w:rPr>
        <w:t>对申报产品的可能危害作出判定</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申请人应根据“</w:t>
      </w:r>
      <w:r>
        <w:rPr>
          <w:rFonts w:eastAsia="仿宋_GB2312"/>
          <w:snapToGrid w:val="0"/>
          <w:kern w:val="0"/>
          <w:sz w:val="32"/>
          <w:szCs w:val="32"/>
          <w:lang w:val="zh-CN"/>
        </w:rPr>
        <w:t>医疗</w:t>
      </w:r>
      <w:r>
        <w:rPr>
          <w:rFonts w:eastAsia="仿宋_GB2312"/>
          <w:snapToGrid w:val="0"/>
          <w:color w:val="000000"/>
          <w:kern w:val="0"/>
          <w:sz w:val="32"/>
          <w:szCs w:val="32"/>
          <w:lang w:val="zh-CN"/>
        </w:rPr>
        <w:t>器械风险管理标准”附录E的举例，对产品的可能危害进行判定并列出清单。</w:t>
      </w:r>
      <w:r>
        <w:rPr>
          <w:rFonts w:hint="eastAsia" w:eastAsia="仿宋_GB2312"/>
          <w:snapToGrid w:val="0"/>
          <w:kern w:val="0"/>
          <w:sz w:val="32"/>
          <w:szCs w:val="32"/>
          <w:lang w:eastAsia="zh-CN"/>
        </w:rPr>
        <w:t>表</w:t>
      </w:r>
      <w:r>
        <w:rPr>
          <w:rFonts w:hint="eastAsia" w:eastAsia="仿宋_GB2312"/>
          <w:snapToGrid w:val="0"/>
          <w:kern w:val="0"/>
          <w:sz w:val="32"/>
          <w:szCs w:val="32"/>
          <w:lang w:val="en-US" w:eastAsia="zh-CN"/>
        </w:rPr>
        <w:t>1</w:t>
      </w:r>
      <w:r>
        <w:rPr>
          <w:rFonts w:eastAsia="仿宋_GB2312"/>
          <w:snapToGrid w:val="0"/>
          <w:kern w:val="0"/>
          <w:sz w:val="32"/>
          <w:szCs w:val="32"/>
        </w:rPr>
        <w:t>为</w:t>
      </w:r>
      <w:r>
        <w:rPr>
          <w:rFonts w:hint="eastAsia" w:eastAsia="仿宋_GB2312"/>
          <w:snapToGrid w:val="0"/>
          <w:kern w:val="0"/>
          <w:sz w:val="32"/>
          <w:szCs w:val="32"/>
          <w:lang w:eastAsia="zh-CN"/>
        </w:rPr>
        <w:t>非慢性创面敷贴</w:t>
      </w:r>
      <w:r>
        <w:rPr>
          <w:rFonts w:eastAsia="仿宋_GB2312"/>
          <w:snapToGrid w:val="0"/>
          <w:kern w:val="0"/>
          <w:sz w:val="32"/>
          <w:szCs w:val="32"/>
        </w:rPr>
        <w:t>常见危害示例，应关注：</w:t>
      </w:r>
    </w:p>
    <w:p>
      <w:pPr>
        <w:numPr>
          <w:ilvl w:val="0"/>
          <w:numId w:val="0"/>
        </w:numPr>
        <w:spacing w:line="560" w:lineRule="exact"/>
        <w:jc w:val="center"/>
        <w:rPr>
          <w:rStyle w:val="39"/>
          <w:rFonts w:hint="eastAsia" w:eastAsia="黑体"/>
          <w:sz w:val="28"/>
          <w:szCs w:val="28"/>
        </w:rPr>
      </w:pPr>
      <w:bookmarkStart w:id="7" w:name="_Toc430317319"/>
      <w:r>
        <w:rPr>
          <w:rStyle w:val="39"/>
          <w:rFonts w:eastAsia="黑体"/>
          <w:sz w:val="28"/>
          <w:szCs w:val="28"/>
        </w:rPr>
        <w:t>表</w:t>
      </w:r>
      <w:r>
        <w:rPr>
          <w:rStyle w:val="39"/>
          <w:rFonts w:hint="eastAsia" w:eastAsia="黑体"/>
          <w:sz w:val="28"/>
          <w:szCs w:val="28"/>
          <w:lang w:val="en-US" w:eastAsia="zh-CN"/>
        </w:rPr>
        <w:t>1</w:t>
      </w:r>
      <w:r>
        <w:rPr>
          <w:rStyle w:val="39"/>
          <w:rFonts w:eastAsia="黑体"/>
          <w:sz w:val="28"/>
          <w:szCs w:val="28"/>
        </w:rPr>
        <w:t xml:space="preserve"> 产品主要</w:t>
      </w:r>
      <w:r>
        <w:rPr>
          <w:rStyle w:val="39"/>
          <w:rFonts w:hint="eastAsia" w:eastAsia="黑体"/>
          <w:sz w:val="28"/>
          <w:szCs w:val="28"/>
        </w:rPr>
        <w:t>危险（源）</w:t>
      </w:r>
    </w:p>
    <w:tbl>
      <w:tblPr>
        <w:tblStyle w:val="17"/>
        <w:tblW w:w="10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340"/>
        <w:gridCol w:w="2717"/>
        <w:gridCol w:w="1465"/>
        <w:gridCol w:w="2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1073"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危害</w:t>
            </w:r>
          </w:p>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类型</w:t>
            </w:r>
          </w:p>
        </w:tc>
        <w:tc>
          <w:tcPr>
            <w:tcW w:w="2340"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可预见的事件序列</w:t>
            </w:r>
          </w:p>
        </w:tc>
        <w:tc>
          <w:tcPr>
            <w:tcW w:w="2717" w:type="dxa"/>
            <w:noWrap w:val="0"/>
            <w:vAlign w:val="center"/>
          </w:tcPr>
          <w:p>
            <w:pPr>
              <w:spacing w:line="400" w:lineRule="exact"/>
              <w:jc w:val="center"/>
              <w:textAlignment w:val="baseline"/>
              <w:rPr>
                <w:rFonts w:hint="eastAsia" w:ascii="仿宋" w:hAnsi="仿宋" w:eastAsia="仿宋" w:cs="仿宋"/>
                <w:color w:val="000000"/>
                <w:sz w:val="21"/>
                <w:szCs w:val="21"/>
                <w:lang w:eastAsia="zh-CN"/>
              </w:rPr>
            </w:pPr>
            <w:r>
              <w:rPr>
                <w:rFonts w:hint="eastAsia" w:ascii="仿宋" w:hAnsi="仿宋" w:eastAsia="仿宋" w:cs="仿宋"/>
                <w:color w:val="000000"/>
                <w:sz w:val="21"/>
                <w:szCs w:val="21"/>
              </w:rPr>
              <w:t>危害</w:t>
            </w:r>
            <w:r>
              <w:rPr>
                <w:rFonts w:hint="eastAsia" w:ascii="仿宋" w:hAnsi="仿宋" w:eastAsia="仿宋" w:cs="仿宋"/>
                <w:color w:val="000000"/>
                <w:sz w:val="21"/>
                <w:szCs w:val="21"/>
                <w:lang w:val="en-US" w:eastAsia="zh-CN"/>
              </w:rPr>
              <w:t>情况</w:t>
            </w:r>
          </w:p>
        </w:tc>
        <w:tc>
          <w:tcPr>
            <w:tcW w:w="1465" w:type="dxa"/>
            <w:noWrap w:val="0"/>
            <w:vAlign w:val="center"/>
          </w:tcPr>
          <w:p>
            <w:pPr>
              <w:spacing w:line="400" w:lineRule="exact"/>
              <w:jc w:val="center"/>
              <w:textAlignment w:val="baseline"/>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伤害</w:t>
            </w:r>
          </w:p>
        </w:tc>
        <w:tc>
          <w:tcPr>
            <w:tcW w:w="2702" w:type="dxa"/>
            <w:noWrap w:val="0"/>
            <w:vAlign w:val="center"/>
          </w:tcPr>
          <w:p>
            <w:pPr>
              <w:spacing w:line="400" w:lineRule="exact"/>
              <w:jc w:val="center"/>
              <w:textAlignment w:val="baseline"/>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采取的措施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jc w:val="center"/>
        </w:trPr>
        <w:tc>
          <w:tcPr>
            <w:tcW w:w="1073"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生物学相容性</w:t>
            </w:r>
          </w:p>
        </w:tc>
        <w:tc>
          <w:tcPr>
            <w:tcW w:w="2340"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（1）原材料生物相容性差。</w:t>
            </w:r>
          </w:p>
          <w:p>
            <w:pPr>
              <w:snapToGrid w:val="0"/>
              <w:spacing w:line="400" w:lineRule="exact"/>
              <w:ind w:left="-27" w:leftChars="-13"/>
              <w:rPr>
                <w:rFonts w:hint="eastAsia" w:ascii="仿宋" w:hAnsi="仿宋" w:eastAsia="仿宋" w:cs="仿宋"/>
                <w:color w:val="000000"/>
                <w:sz w:val="21"/>
                <w:szCs w:val="21"/>
              </w:rPr>
            </w:pPr>
            <w:r>
              <w:rPr>
                <w:rFonts w:hint="eastAsia" w:ascii="仿宋" w:hAnsi="仿宋" w:eastAsia="仿宋" w:cs="仿宋"/>
                <w:color w:val="000000"/>
                <w:sz w:val="21"/>
                <w:szCs w:val="21"/>
              </w:rPr>
              <w:t>（2）加工工艺控制不严格。</w:t>
            </w:r>
          </w:p>
        </w:tc>
        <w:tc>
          <w:tcPr>
            <w:tcW w:w="2717" w:type="dxa"/>
            <w:noWrap w:val="0"/>
            <w:vAlign w:val="center"/>
          </w:tcPr>
          <w:p>
            <w:pPr>
              <w:spacing w:line="340" w:lineRule="exact"/>
              <w:ind w:right="-147" w:rightChars="-70"/>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采用了不合格原辅材料；</w:t>
            </w:r>
          </w:p>
          <w:p>
            <w:pPr>
              <w:spacing w:line="340" w:lineRule="exact"/>
              <w:ind w:right="-55" w:rightChars="-26"/>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生产引入了外来物质、工艺物质没有被有效去除；</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灭菌剂残留于高吸附的</w:t>
            </w:r>
            <w:r>
              <w:rPr>
                <w:rFonts w:hint="eastAsia" w:ascii="仿宋" w:hAnsi="仿宋" w:eastAsia="仿宋" w:cs="仿宋"/>
                <w:color w:val="000000"/>
                <w:sz w:val="21"/>
                <w:szCs w:val="21"/>
                <w:lang w:eastAsia="zh-CN"/>
              </w:rPr>
              <w:t>敷贴</w:t>
            </w:r>
            <w:r>
              <w:rPr>
                <w:rFonts w:hint="eastAsia" w:ascii="仿宋" w:hAnsi="仿宋" w:eastAsia="仿宋" w:cs="仿宋"/>
                <w:color w:val="000000"/>
                <w:sz w:val="21"/>
                <w:szCs w:val="21"/>
              </w:rPr>
              <w:t>中。</w:t>
            </w:r>
          </w:p>
        </w:tc>
        <w:tc>
          <w:tcPr>
            <w:tcW w:w="1465" w:type="dxa"/>
            <w:noWrap w:val="0"/>
            <w:vAlign w:val="center"/>
          </w:tcPr>
          <w:p>
            <w:pPr>
              <w:snapToGrid w:val="0"/>
              <w:spacing w:line="400" w:lineRule="exact"/>
              <w:jc w:val="left"/>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毒性或刺激。</w:t>
            </w:r>
          </w:p>
        </w:tc>
        <w:tc>
          <w:tcPr>
            <w:tcW w:w="2702" w:type="dxa"/>
            <w:noWrap w:val="0"/>
            <w:vAlign w:val="center"/>
          </w:tcPr>
          <w:p>
            <w:pPr>
              <w:snapToGrid w:val="0"/>
              <w:spacing w:line="400" w:lineRule="exact"/>
              <w:ind w:right="0" w:rightChars="0"/>
              <w:jc w:val="left"/>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产品设计开发过程筛选合格原材料，原材料入厂检验；</w:t>
            </w:r>
          </w:p>
          <w:p>
            <w:pPr>
              <w:snapToGrid w:val="0"/>
              <w:spacing w:line="400" w:lineRule="exact"/>
              <w:ind w:right="0" w:rightChars="0"/>
              <w:jc w:val="left"/>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严格控制生产过程；</w:t>
            </w:r>
          </w:p>
          <w:p>
            <w:pPr>
              <w:snapToGrid w:val="0"/>
              <w:spacing w:line="400" w:lineRule="exact"/>
              <w:jc w:val="left"/>
              <w:textAlignment w:val="auto"/>
              <w:rPr>
                <w:rFonts w:hint="eastAsia" w:ascii="仿宋" w:hAnsi="仿宋" w:eastAsia="仿宋" w:cs="仿宋"/>
                <w:color w:val="000000"/>
                <w:sz w:val="21"/>
                <w:szCs w:val="21"/>
              </w:rPr>
            </w:pPr>
            <w:r>
              <w:rPr>
                <w:rFonts w:hint="eastAsia" w:ascii="仿宋" w:hAnsi="仿宋" w:eastAsia="仿宋" w:cs="仿宋"/>
                <w:bCs/>
                <w:sz w:val="21"/>
                <w:szCs w:val="21"/>
              </w:rPr>
              <w:t>企业选择经过确认的灭菌工艺进行灭菌；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7" w:hRule="atLeast"/>
          <w:jc w:val="center"/>
        </w:trPr>
        <w:tc>
          <w:tcPr>
            <w:tcW w:w="1073"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生物学危害（微生物污染）</w:t>
            </w:r>
          </w:p>
        </w:tc>
        <w:tc>
          <w:tcPr>
            <w:tcW w:w="2340" w:type="dxa"/>
            <w:noWrap w:val="0"/>
            <w:vAlign w:val="center"/>
          </w:tcPr>
          <w:p>
            <w:pPr>
              <w:snapToGrid w:val="0"/>
              <w:spacing w:line="400" w:lineRule="exact"/>
              <w:ind w:left="-27" w:leftChars="-13"/>
              <w:rPr>
                <w:rFonts w:hint="eastAsia" w:ascii="仿宋" w:hAnsi="仿宋" w:eastAsia="仿宋" w:cs="仿宋"/>
                <w:color w:val="000000"/>
                <w:sz w:val="21"/>
                <w:szCs w:val="21"/>
              </w:rPr>
            </w:pPr>
            <w:r>
              <w:rPr>
                <w:rFonts w:hint="eastAsia" w:ascii="仿宋" w:hAnsi="仿宋" w:eastAsia="仿宋" w:cs="仿宋"/>
                <w:color w:val="000000"/>
                <w:sz w:val="21"/>
                <w:szCs w:val="21"/>
              </w:rPr>
              <w:t>（1）生产环境控制不达标。</w:t>
            </w:r>
          </w:p>
          <w:p>
            <w:pPr>
              <w:snapToGrid w:val="0"/>
              <w:spacing w:line="400" w:lineRule="exact"/>
              <w:ind w:left="-27" w:leftChars="-13"/>
              <w:rPr>
                <w:rFonts w:hint="eastAsia" w:ascii="仿宋" w:hAnsi="仿宋" w:eastAsia="仿宋" w:cs="仿宋"/>
                <w:color w:val="000000"/>
                <w:sz w:val="21"/>
                <w:szCs w:val="21"/>
              </w:rPr>
            </w:pPr>
            <w:r>
              <w:rPr>
                <w:rFonts w:hint="eastAsia" w:ascii="仿宋" w:hAnsi="仿宋" w:eastAsia="仿宋" w:cs="仿宋"/>
                <w:color w:val="000000"/>
                <w:sz w:val="21"/>
                <w:szCs w:val="21"/>
              </w:rPr>
              <w:t>（2）灭菌操作不</w:t>
            </w:r>
            <w:r>
              <w:rPr>
                <w:rFonts w:hint="eastAsia" w:ascii="仿宋" w:hAnsi="仿宋" w:eastAsia="仿宋" w:cs="仿宋"/>
                <w:color w:val="000000"/>
                <w:sz w:val="21"/>
                <w:szCs w:val="21"/>
                <w:lang w:eastAsia="zh-CN"/>
              </w:rPr>
              <w:t>规范</w:t>
            </w:r>
            <w:r>
              <w:rPr>
                <w:rFonts w:hint="eastAsia" w:ascii="仿宋" w:hAnsi="仿宋" w:eastAsia="仿宋" w:cs="仿宋"/>
                <w:color w:val="000000"/>
                <w:sz w:val="21"/>
                <w:szCs w:val="21"/>
              </w:rPr>
              <w:t>。</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（3）包装材料选择不适当。</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（4）包装封口缺陷。</w:t>
            </w:r>
          </w:p>
        </w:tc>
        <w:tc>
          <w:tcPr>
            <w:tcW w:w="2717"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产品带菌。</w:t>
            </w:r>
          </w:p>
        </w:tc>
        <w:tc>
          <w:tcPr>
            <w:tcW w:w="1465"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引起患者感染。</w:t>
            </w:r>
          </w:p>
        </w:tc>
        <w:tc>
          <w:tcPr>
            <w:tcW w:w="2702" w:type="dxa"/>
            <w:noWrap w:val="0"/>
            <w:vAlign w:val="center"/>
          </w:tcPr>
          <w:p>
            <w:pPr>
              <w:snapToGrid w:val="0"/>
              <w:spacing w:line="400" w:lineRule="exact"/>
              <w:rPr>
                <w:rFonts w:hint="eastAsia" w:ascii="仿宋" w:hAnsi="仿宋" w:eastAsia="仿宋" w:cs="仿宋"/>
                <w:bCs/>
                <w:sz w:val="21"/>
                <w:szCs w:val="21"/>
              </w:rPr>
            </w:pPr>
            <w:r>
              <w:rPr>
                <w:rFonts w:hint="eastAsia" w:ascii="仿宋" w:hAnsi="仿宋" w:eastAsia="仿宋" w:cs="仿宋"/>
                <w:color w:val="000000"/>
                <w:sz w:val="21"/>
                <w:szCs w:val="21"/>
              </w:rPr>
              <w:t>严格控制生产环境及包装工艺。</w:t>
            </w:r>
          </w:p>
          <w:p>
            <w:pPr>
              <w:snapToGrid w:val="0"/>
              <w:spacing w:line="400" w:lineRule="exact"/>
              <w:rPr>
                <w:rFonts w:hint="eastAsia" w:ascii="仿宋" w:hAnsi="仿宋" w:eastAsia="仿宋" w:cs="仿宋"/>
                <w:bCs/>
                <w:sz w:val="21"/>
                <w:szCs w:val="21"/>
              </w:rPr>
            </w:pPr>
            <w:r>
              <w:rPr>
                <w:rFonts w:hint="eastAsia" w:ascii="仿宋" w:hAnsi="仿宋" w:eastAsia="仿宋" w:cs="仿宋"/>
                <w:bCs/>
                <w:sz w:val="21"/>
                <w:szCs w:val="21"/>
              </w:rPr>
              <w:t>企业选择经过确认的灭菌工艺进行灭菌；</w:t>
            </w:r>
          </w:p>
          <w:p>
            <w:pPr>
              <w:snapToGrid w:val="0"/>
              <w:spacing w:line="400" w:lineRule="exact"/>
              <w:rPr>
                <w:rFonts w:hint="eastAsia" w:ascii="仿宋" w:hAnsi="仿宋" w:eastAsia="仿宋" w:cs="仿宋"/>
                <w:bCs/>
                <w:spacing w:val="-10"/>
                <w:sz w:val="21"/>
                <w:szCs w:val="21"/>
              </w:rPr>
            </w:pPr>
            <w:r>
              <w:rPr>
                <w:rFonts w:hint="eastAsia" w:ascii="仿宋" w:hAnsi="仿宋" w:eastAsia="仿宋" w:cs="仿宋"/>
                <w:bCs/>
                <w:sz w:val="21"/>
                <w:szCs w:val="21"/>
              </w:rPr>
              <w:t>产品出厂前进</w:t>
            </w:r>
            <w:r>
              <w:rPr>
                <w:rFonts w:hint="eastAsia" w:ascii="仿宋" w:hAnsi="仿宋" w:eastAsia="仿宋" w:cs="仿宋"/>
                <w:bCs/>
                <w:spacing w:val="-10"/>
                <w:sz w:val="21"/>
                <w:szCs w:val="21"/>
              </w:rPr>
              <w:t>行抽样检验，性能要求合格后方可出厂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3" w:hRule="atLeast"/>
          <w:jc w:val="center"/>
        </w:trPr>
        <w:tc>
          <w:tcPr>
            <w:tcW w:w="1073"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化学危害</w:t>
            </w:r>
          </w:p>
        </w:tc>
        <w:tc>
          <w:tcPr>
            <w:tcW w:w="2340" w:type="dxa"/>
            <w:noWrap w:val="0"/>
            <w:vAlign w:val="center"/>
          </w:tcPr>
          <w:p>
            <w:pPr>
              <w:snapToGrid w:val="0"/>
              <w:spacing w:line="400" w:lineRule="exact"/>
              <w:ind w:left="-27" w:leftChars="-13"/>
              <w:rPr>
                <w:rFonts w:hint="eastAsia" w:ascii="仿宋" w:hAnsi="仿宋" w:eastAsia="仿宋" w:cs="仿宋"/>
                <w:color w:val="000000"/>
                <w:sz w:val="21"/>
                <w:szCs w:val="21"/>
              </w:rPr>
            </w:pPr>
            <w:r>
              <w:rPr>
                <w:rFonts w:hint="eastAsia" w:ascii="仿宋" w:hAnsi="仿宋" w:eastAsia="仿宋" w:cs="仿宋"/>
                <w:color w:val="000000"/>
                <w:sz w:val="21"/>
                <w:szCs w:val="21"/>
              </w:rPr>
              <w:t>（1）原材料控制不严格。</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（2）灭菌操作对环氧乙烷残留量的控制不达标。</w:t>
            </w:r>
          </w:p>
        </w:tc>
        <w:tc>
          <w:tcPr>
            <w:tcW w:w="2717"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（1）化学性能不符合要求。</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（2）超量的环氧乙烷输入人体。</w:t>
            </w:r>
          </w:p>
        </w:tc>
        <w:tc>
          <w:tcPr>
            <w:tcW w:w="1465"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损害使用人员及患者健康。</w:t>
            </w:r>
          </w:p>
        </w:tc>
        <w:tc>
          <w:tcPr>
            <w:tcW w:w="2702" w:type="dxa"/>
            <w:noWrap w:val="0"/>
            <w:vAlign w:val="center"/>
          </w:tcPr>
          <w:p>
            <w:pPr>
              <w:spacing w:line="340" w:lineRule="exact"/>
              <w:ind w:right="-55" w:rightChars="-26"/>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产品设计开发过程筛选合格原材料，原材料入厂检验；</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sz w:val="21"/>
                <w:szCs w:val="21"/>
              </w:rPr>
              <w:t>采用经过确认的方式进行解析，环氧乙烷残留量达标后方可出厂。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073" w:type="dxa"/>
            <w:vMerge w:val="restart"/>
            <w:noWrap w:val="0"/>
            <w:vAlign w:val="center"/>
          </w:tcPr>
          <w:p>
            <w:pPr>
              <w:snapToGrid w:val="0"/>
              <w:spacing w:line="4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运输和储存（不适当的环境条件）</w:t>
            </w:r>
          </w:p>
        </w:tc>
        <w:tc>
          <w:tcPr>
            <w:tcW w:w="2340" w:type="dxa"/>
            <w:noWrap w:val="0"/>
            <w:vAlign w:val="center"/>
          </w:tcPr>
          <w:p>
            <w:pPr>
              <w:snapToGrid w:val="0"/>
              <w:spacing w:line="400" w:lineRule="exact"/>
              <w:ind w:left="-107" w:leftChars="-51"/>
              <w:rPr>
                <w:rFonts w:hint="eastAsia" w:ascii="仿宋" w:hAnsi="仿宋" w:eastAsia="仿宋" w:cs="仿宋"/>
                <w:color w:val="000000"/>
                <w:sz w:val="21"/>
                <w:szCs w:val="21"/>
              </w:rPr>
            </w:pPr>
            <w:r>
              <w:rPr>
                <w:rFonts w:hint="eastAsia" w:ascii="仿宋" w:hAnsi="仿宋" w:eastAsia="仿宋" w:cs="仿宋"/>
                <w:color w:val="000000"/>
                <w:sz w:val="21"/>
                <w:szCs w:val="21"/>
              </w:rPr>
              <w:t>储存或运输条件偏离预定的环境条件（如温度、湿度）。</w:t>
            </w:r>
          </w:p>
        </w:tc>
        <w:tc>
          <w:tcPr>
            <w:tcW w:w="2717"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（1）产品非正常老化。</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w:t>
            </w:r>
            <w:r>
              <w:rPr>
                <w:rFonts w:hint="eastAsia" w:ascii="仿宋" w:hAnsi="仿宋" w:eastAsia="仿宋" w:cs="仿宋"/>
                <w:color w:val="000000"/>
                <w:sz w:val="21"/>
                <w:szCs w:val="21"/>
                <w:lang w:eastAsia="zh-CN"/>
              </w:rPr>
              <w:t>产品使用</w:t>
            </w:r>
            <w:r>
              <w:rPr>
                <w:rFonts w:hint="eastAsia" w:ascii="仿宋" w:hAnsi="仿宋" w:eastAsia="仿宋" w:cs="仿宋"/>
                <w:color w:val="000000"/>
                <w:sz w:val="21"/>
                <w:szCs w:val="21"/>
              </w:rPr>
              <w:t>有效期缩短，产品带菌。</w:t>
            </w:r>
          </w:p>
        </w:tc>
        <w:tc>
          <w:tcPr>
            <w:tcW w:w="1465"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功能性、使用性丧失。</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引起患者感染。</w:t>
            </w:r>
          </w:p>
        </w:tc>
        <w:tc>
          <w:tcPr>
            <w:tcW w:w="2702"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规范说明书。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1073" w:type="dxa"/>
            <w:vMerge w:val="continue"/>
            <w:noWrap w:val="0"/>
            <w:vAlign w:val="center"/>
          </w:tcPr>
          <w:p>
            <w:pPr>
              <w:snapToGrid w:val="0"/>
              <w:spacing w:line="400" w:lineRule="exact"/>
              <w:jc w:val="center"/>
              <w:rPr>
                <w:rFonts w:hint="eastAsia" w:ascii="仿宋" w:hAnsi="仿宋" w:eastAsia="仿宋" w:cs="仿宋"/>
                <w:color w:val="000000"/>
                <w:sz w:val="21"/>
                <w:szCs w:val="21"/>
              </w:rPr>
            </w:pPr>
          </w:p>
        </w:tc>
        <w:tc>
          <w:tcPr>
            <w:tcW w:w="2340"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储运、使用过程中发生意外的机械性破坏。</w:t>
            </w:r>
          </w:p>
        </w:tc>
        <w:tc>
          <w:tcPr>
            <w:tcW w:w="2717"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（1）产品带菌。</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（2）产品使用性能无法得到保证。</w:t>
            </w:r>
          </w:p>
        </w:tc>
        <w:tc>
          <w:tcPr>
            <w:tcW w:w="1465"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引起患者感染。</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功能性、使用性丧失。</w:t>
            </w:r>
          </w:p>
        </w:tc>
        <w:tc>
          <w:tcPr>
            <w:tcW w:w="2702"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规范说明书。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073" w:type="dxa"/>
            <w:noWrap w:val="0"/>
            <w:vAlign w:val="center"/>
          </w:tcPr>
          <w:p>
            <w:pPr>
              <w:snapToGrid w:val="0"/>
              <w:spacing w:line="4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废弃物处理</w:t>
            </w:r>
          </w:p>
        </w:tc>
        <w:tc>
          <w:tcPr>
            <w:tcW w:w="2340"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产品使用后，未经医疗垃圾处理。</w:t>
            </w:r>
          </w:p>
        </w:tc>
        <w:tc>
          <w:tcPr>
            <w:tcW w:w="2717"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有害物质影响环境。</w:t>
            </w:r>
          </w:p>
        </w:tc>
        <w:tc>
          <w:tcPr>
            <w:tcW w:w="1465"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环境污染。</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交叉感染。</w:t>
            </w:r>
          </w:p>
        </w:tc>
        <w:tc>
          <w:tcPr>
            <w:tcW w:w="2702"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规范说明书。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jc w:val="center"/>
        </w:trPr>
        <w:tc>
          <w:tcPr>
            <w:tcW w:w="1073" w:type="dxa"/>
            <w:noWrap w:val="0"/>
            <w:vAlign w:val="center"/>
          </w:tcPr>
          <w:p>
            <w:pPr>
              <w:snapToGrid w:val="0"/>
              <w:spacing w:line="4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标记</w:t>
            </w:r>
          </w:p>
        </w:tc>
        <w:tc>
          <w:tcPr>
            <w:tcW w:w="2340"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（1）标记不清晰、错误。</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（2）没有按照要求进行标记。</w:t>
            </w:r>
          </w:p>
        </w:tc>
        <w:tc>
          <w:tcPr>
            <w:tcW w:w="2717"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（1）错误使用。</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（2）储存错误。</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（3）产品辨别错误。</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（4）导致无法保证使用安全性。</w:t>
            </w:r>
          </w:p>
        </w:tc>
        <w:tc>
          <w:tcPr>
            <w:tcW w:w="1465"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引起患者感染。</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操作失效。</w:t>
            </w:r>
          </w:p>
        </w:tc>
        <w:tc>
          <w:tcPr>
            <w:tcW w:w="2702"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标记印刷清晰正确；</w:t>
            </w:r>
          </w:p>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标记内容按相关要求标记全面。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jc w:val="center"/>
        </w:trPr>
        <w:tc>
          <w:tcPr>
            <w:tcW w:w="1073"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操作危害</w:t>
            </w:r>
          </w:p>
        </w:tc>
        <w:tc>
          <w:tcPr>
            <w:tcW w:w="2340"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产品的使用人员未接受培训，使用产品时操作不当。</w:t>
            </w:r>
          </w:p>
        </w:tc>
        <w:tc>
          <w:tcPr>
            <w:tcW w:w="2717"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患者接触了有菌的产品。对一次性使用产品的很可能再次使用的危害性警告不适当</w:t>
            </w:r>
          </w:p>
        </w:tc>
        <w:tc>
          <w:tcPr>
            <w:tcW w:w="1465"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交叉感染。</w:t>
            </w:r>
          </w:p>
        </w:tc>
        <w:tc>
          <w:tcPr>
            <w:tcW w:w="2702"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说明书上提示。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1073"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信息危害</w:t>
            </w:r>
          </w:p>
        </w:tc>
        <w:tc>
          <w:tcPr>
            <w:tcW w:w="2340"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不当的说明书 。</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说明书上的注意事项不全。</w:t>
            </w:r>
          </w:p>
        </w:tc>
        <w:tc>
          <w:tcPr>
            <w:tcW w:w="2717"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使用了不适当的产品。</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产品使用处置不当。</w:t>
            </w:r>
          </w:p>
        </w:tc>
        <w:tc>
          <w:tcPr>
            <w:tcW w:w="1465"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功能性、使用性丧失。</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人员感染。</w:t>
            </w:r>
          </w:p>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破坏环境。</w:t>
            </w:r>
          </w:p>
        </w:tc>
        <w:tc>
          <w:tcPr>
            <w:tcW w:w="2702" w:type="dxa"/>
            <w:noWrap w:val="0"/>
            <w:vAlign w:val="center"/>
          </w:tcPr>
          <w:p>
            <w:pPr>
              <w:spacing w:line="400" w:lineRule="exact"/>
              <w:jc w:val="left"/>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规范说明书。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073" w:type="dxa"/>
            <w:noWrap w:val="0"/>
            <w:vAlign w:val="center"/>
          </w:tcPr>
          <w:p>
            <w:pPr>
              <w:spacing w:line="400" w:lineRule="exact"/>
              <w:jc w:val="center"/>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rPr>
              <w:t>警告</w:t>
            </w:r>
          </w:p>
        </w:tc>
        <w:tc>
          <w:tcPr>
            <w:tcW w:w="2340"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对一次性使用医疗器械很可能再次使用的危害警告不适当。</w:t>
            </w:r>
          </w:p>
        </w:tc>
        <w:tc>
          <w:tcPr>
            <w:tcW w:w="2717"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kern w:val="0"/>
                <w:sz w:val="21"/>
                <w:szCs w:val="21"/>
              </w:rPr>
              <w:t>重复使用。</w:t>
            </w:r>
          </w:p>
        </w:tc>
        <w:tc>
          <w:tcPr>
            <w:tcW w:w="1465" w:type="dxa"/>
            <w:noWrap w:val="0"/>
            <w:vAlign w:val="center"/>
          </w:tcPr>
          <w:p>
            <w:pPr>
              <w:snapToGrid w:val="0"/>
              <w:spacing w:line="400" w:lineRule="exact"/>
              <w:rPr>
                <w:rFonts w:hint="eastAsia" w:ascii="仿宋" w:hAnsi="仿宋" w:eastAsia="仿宋" w:cs="仿宋"/>
                <w:color w:val="000000"/>
                <w:sz w:val="21"/>
                <w:szCs w:val="21"/>
              </w:rPr>
            </w:pPr>
            <w:r>
              <w:rPr>
                <w:rFonts w:hint="eastAsia" w:ascii="仿宋" w:hAnsi="仿宋" w:eastAsia="仿宋" w:cs="仿宋"/>
                <w:color w:val="000000"/>
                <w:kern w:val="0"/>
                <w:sz w:val="21"/>
                <w:szCs w:val="21"/>
              </w:rPr>
              <w:t>交叉感染。</w:t>
            </w:r>
          </w:p>
        </w:tc>
        <w:tc>
          <w:tcPr>
            <w:tcW w:w="2702" w:type="dxa"/>
            <w:noWrap w:val="0"/>
            <w:vAlign w:val="center"/>
          </w:tcPr>
          <w:p>
            <w:pPr>
              <w:snapToGrid w:val="0"/>
              <w:spacing w:line="400" w:lineRule="exact"/>
              <w:rPr>
                <w:rFonts w:hint="eastAsia" w:ascii="仿宋" w:hAnsi="仿宋" w:eastAsia="仿宋" w:cs="仿宋"/>
                <w:color w:val="000000"/>
                <w:kern w:val="0"/>
                <w:sz w:val="21"/>
                <w:szCs w:val="21"/>
              </w:rPr>
            </w:pPr>
            <w:r>
              <w:rPr>
                <w:rFonts w:hint="eastAsia" w:ascii="仿宋" w:hAnsi="仿宋" w:eastAsia="仿宋" w:cs="仿宋"/>
                <w:color w:val="000000"/>
                <w:sz w:val="21"/>
                <w:szCs w:val="21"/>
              </w:rPr>
              <w:t>规范说明书。</w:t>
            </w:r>
          </w:p>
        </w:tc>
      </w:tr>
    </w:tbl>
    <w:p>
      <w:pPr>
        <w:numPr>
          <w:ilvl w:val="0"/>
          <w:numId w:val="0"/>
        </w:numPr>
        <w:spacing w:line="560" w:lineRule="exact"/>
        <w:jc w:val="center"/>
        <w:rPr>
          <w:rStyle w:val="39"/>
          <w:rFonts w:hint="eastAsia" w:eastAsia="黑体"/>
          <w:sz w:val="28"/>
          <w:szCs w:val="28"/>
        </w:rPr>
      </w:pP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480" w:firstLineChars="200"/>
        <w:textAlignment w:val="auto"/>
        <w:rPr>
          <w:rFonts w:hint="eastAsia" w:ascii="楷体" w:hAnsi="楷体" w:eastAsia="楷体" w:cs="楷体_GB2312"/>
          <w:bCs/>
          <w:sz w:val="24"/>
          <w:szCs w:val="24"/>
          <w:lang w:eastAsia="zh-CN"/>
        </w:rPr>
      </w:pPr>
      <w:r>
        <w:rPr>
          <w:rFonts w:eastAsia="仿宋_GB2312"/>
          <w:sz w:val="24"/>
          <w:szCs w:val="24"/>
        </w:rPr>
        <w:t>注：上表内容仅为风险分析示例，并不用于注册申请人风险管理报告的制定，注册申请人应根据自身实际风险分析情况，确定其危害，制定产品风险管理报告。针对产品的各项风险，企业应采取应对措施，确保风险降到可接受的程度。注册申请人应按照YY/T 0316中规定的过程和方法，在产品整个生命周期内建立、形成文件和保持一个持续的过程，用以判定与医疗器械有关的危害、估计和评价相关的风险、控制这些风险并监视上述控制的有效性，以充分保证产品的安全和有效。</w:t>
      </w:r>
    </w:p>
    <w:p>
      <w:pPr>
        <w:pStyle w:val="30"/>
        <w:keepNext w:val="0"/>
        <w:keepLines w:val="0"/>
        <w:pageBreakBefore w:val="0"/>
        <w:numPr>
          <w:ilvl w:val="0"/>
          <w:numId w:val="2"/>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kern w:val="0"/>
          <w:sz w:val="32"/>
          <w:szCs w:val="32"/>
          <w:lang w:val="zh-CN"/>
        </w:rPr>
      </w:pPr>
      <w:r>
        <w:rPr>
          <w:rFonts w:ascii="Times New Roman" w:hAnsi="Times New Roman" w:eastAsia="黑体"/>
          <w:snapToGrid w:val="0"/>
          <w:kern w:val="0"/>
          <w:sz w:val="32"/>
          <w:szCs w:val="32"/>
        </w:rPr>
        <w:t>明确风险可接受准则</w:t>
      </w:r>
      <w:bookmarkEnd w:id="7"/>
    </w:p>
    <w:p>
      <w:pPr>
        <w:pStyle w:val="30"/>
        <w:keepNext w:val="0"/>
        <w:keepLines w:val="0"/>
        <w:pageBreakBefore w:val="0"/>
        <w:numPr>
          <w:ilvl w:val="0"/>
          <w:numId w:val="2"/>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color w:val="000000"/>
          <w:kern w:val="0"/>
          <w:sz w:val="32"/>
          <w:szCs w:val="32"/>
          <w:lang w:val="zh-CN"/>
        </w:rPr>
        <w:t>对所</w:t>
      </w:r>
      <w:r>
        <w:rPr>
          <w:rFonts w:ascii="Times New Roman" w:hAnsi="Times New Roman" w:eastAsia="黑体"/>
          <w:snapToGrid w:val="0"/>
          <w:kern w:val="0"/>
          <w:sz w:val="32"/>
          <w:szCs w:val="32"/>
        </w:rPr>
        <w:t>判定</w:t>
      </w:r>
      <w:r>
        <w:rPr>
          <w:rFonts w:ascii="Times New Roman" w:hAnsi="Times New Roman" w:eastAsia="黑体"/>
          <w:snapToGrid w:val="0"/>
          <w:color w:val="000000"/>
          <w:kern w:val="0"/>
          <w:sz w:val="32"/>
          <w:szCs w:val="32"/>
          <w:lang w:val="zh-CN"/>
        </w:rPr>
        <w:t>的危害采取的降低风险的控制措施</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为对所有</w:t>
      </w:r>
      <w:r>
        <w:rPr>
          <w:rFonts w:eastAsia="仿宋_GB2312"/>
          <w:snapToGrid w:val="0"/>
          <w:kern w:val="0"/>
          <w:sz w:val="32"/>
          <w:szCs w:val="32"/>
          <w:lang w:val="zh-CN"/>
        </w:rPr>
        <w:t>危害</w:t>
      </w:r>
      <w:r>
        <w:rPr>
          <w:rFonts w:eastAsia="仿宋_GB2312"/>
          <w:snapToGrid w:val="0"/>
          <w:color w:val="000000"/>
          <w:kern w:val="0"/>
          <w:sz w:val="32"/>
          <w:szCs w:val="32"/>
          <w:lang w:val="zh-CN"/>
        </w:rPr>
        <w:t>，使其风险达到可接受的水平，一般依次采取如下的一种或多种方法：</w:t>
      </w:r>
    </w:p>
    <w:p>
      <w:pPr>
        <w:keepNext w:val="0"/>
        <w:keepLines w:val="0"/>
        <w:pageBreakBefore w:val="0"/>
        <w:tabs>
          <w:tab w:val="left" w:pos="540"/>
          <w:tab w:val="left" w:pos="720"/>
        </w:tabs>
        <w:kinsoku/>
        <w:wordWrap/>
        <w:overflowPunct w:val="0"/>
        <w:topLinePunct w:val="0"/>
        <w:autoSpaceDE w:val="0"/>
        <w:autoSpaceDN w:val="0"/>
        <w:bidi w:val="0"/>
        <w:adjustRightInd w:val="0"/>
        <w:snapToGrid/>
        <w:spacing w:line="520" w:lineRule="exact"/>
        <w:ind w:firstLine="640" w:firstLineChars="200"/>
        <w:textAlignment w:val="auto"/>
        <w:outlineLvl w:val="2"/>
        <w:rPr>
          <w:rFonts w:eastAsia="楷体_GB2312"/>
          <w:color w:val="000000"/>
          <w:sz w:val="32"/>
          <w:szCs w:val="32"/>
          <w:lang w:val="zh-CN"/>
        </w:rPr>
      </w:pPr>
      <w:r>
        <w:rPr>
          <w:rFonts w:hint="eastAsia" w:eastAsia="楷体_GB2312"/>
          <w:color w:val="000000"/>
          <w:sz w:val="32"/>
          <w:szCs w:val="32"/>
          <w:lang w:val="zh-CN"/>
        </w:rPr>
        <w:t>（一）通过设计取得固有安全性；</w:t>
      </w:r>
    </w:p>
    <w:p>
      <w:pPr>
        <w:keepNext w:val="0"/>
        <w:keepLines w:val="0"/>
        <w:pageBreakBefore w:val="0"/>
        <w:tabs>
          <w:tab w:val="left" w:pos="540"/>
          <w:tab w:val="left" w:pos="720"/>
        </w:tabs>
        <w:kinsoku/>
        <w:wordWrap/>
        <w:overflowPunct w:val="0"/>
        <w:topLinePunct w:val="0"/>
        <w:autoSpaceDE w:val="0"/>
        <w:autoSpaceDN w:val="0"/>
        <w:bidi w:val="0"/>
        <w:adjustRightInd w:val="0"/>
        <w:snapToGrid/>
        <w:spacing w:line="520" w:lineRule="exact"/>
        <w:ind w:firstLine="640" w:firstLineChars="200"/>
        <w:textAlignment w:val="auto"/>
        <w:outlineLvl w:val="2"/>
        <w:rPr>
          <w:rFonts w:eastAsia="楷体_GB2312"/>
          <w:color w:val="000000"/>
          <w:sz w:val="32"/>
          <w:szCs w:val="32"/>
          <w:lang w:val="zh-CN"/>
        </w:rPr>
      </w:pPr>
      <w:r>
        <w:rPr>
          <w:rFonts w:hint="eastAsia" w:eastAsia="楷体_GB2312"/>
          <w:color w:val="000000"/>
          <w:sz w:val="32"/>
          <w:szCs w:val="32"/>
          <w:lang w:val="zh-CN"/>
        </w:rPr>
        <w:t>（二）医疗器械本身或在生产过程中的防护措施；</w:t>
      </w:r>
    </w:p>
    <w:p>
      <w:pPr>
        <w:keepNext w:val="0"/>
        <w:keepLines w:val="0"/>
        <w:pageBreakBefore w:val="0"/>
        <w:tabs>
          <w:tab w:val="left" w:pos="540"/>
          <w:tab w:val="left" w:pos="720"/>
        </w:tabs>
        <w:kinsoku/>
        <w:wordWrap/>
        <w:overflowPunct w:val="0"/>
        <w:topLinePunct w:val="0"/>
        <w:autoSpaceDE w:val="0"/>
        <w:autoSpaceDN w:val="0"/>
        <w:bidi w:val="0"/>
        <w:adjustRightInd w:val="0"/>
        <w:snapToGrid/>
        <w:spacing w:line="520" w:lineRule="exact"/>
        <w:ind w:firstLine="640" w:firstLineChars="200"/>
        <w:textAlignment w:val="auto"/>
        <w:outlineLvl w:val="2"/>
        <w:rPr>
          <w:rFonts w:eastAsia="仿宋_GB2312"/>
          <w:snapToGrid w:val="0"/>
          <w:color w:val="000000"/>
          <w:kern w:val="0"/>
          <w:sz w:val="32"/>
          <w:szCs w:val="32"/>
          <w:lang w:val="zh-CN"/>
        </w:rPr>
      </w:pPr>
      <w:r>
        <w:rPr>
          <w:rFonts w:hint="eastAsia" w:eastAsia="楷体_GB2312"/>
          <w:color w:val="000000"/>
          <w:sz w:val="32"/>
          <w:szCs w:val="32"/>
          <w:lang w:val="zh-CN"/>
        </w:rPr>
        <w:t>（三）告知安全信息。</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申请人应根据所列出的危害，逐项列出用于将风险降低到可接受水平的采取措施</w:t>
      </w:r>
      <w:r>
        <w:rPr>
          <w:rFonts w:hint="eastAsia" w:eastAsia="仿宋_GB2312"/>
          <w:snapToGrid w:val="0"/>
          <w:color w:val="000000"/>
          <w:kern w:val="0"/>
          <w:sz w:val="32"/>
          <w:szCs w:val="32"/>
          <w:lang w:val="zh-CN"/>
        </w:rPr>
        <w:t>。</w:t>
      </w:r>
    </w:p>
    <w:p>
      <w:pPr>
        <w:pStyle w:val="30"/>
        <w:keepNext w:val="0"/>
        <w:keepLines w:val="0"/>
        <w:pageBreakBefore w:val="0"/>
        <w:numPr>
          <w:ilvl w:val="0"/>
          <w:numId w:val="2"/>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color w:val="000000"/>
          <w:kern w:val="0"/>
          <w:sz w:val="32"/>
          <w:szCs w:val="32"/>
          <w:lang w:val="zh-CN"/>
        </w:rPr>
        <w:t>对采取控制措施后的剩余风险进行估计和评价</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w:t>
      </w:r>
      <w:r>
        <w:rPr>
          <w:rFonts w:eastAsia="仿宋_GB2312"/>
          <w:snapToGrid w:val="0"/>
          <w:kern w:val="0"/>
          <w:sz w:val="32"/>
          <w:szCs w:val="32"/>
          <w:lang w:val="zh-CN"/>
        </w:rPr>
        <w:t>针对</w:t>
      </w:r>
      <w:r>
        <w:rPr>
          <w:rFonts w:eastAsia="仿宋_GB2312"/>
          <w:snapToGrid w:val="0"/>
          <w:color w:val="000000"/>
          <w:kern w:val="0"/>
          <w:sz w:val="32"/>
          <w:szCs w:val="32"/>
          <w:lang w:val="zh-CN"/>
        </w:rPr>
        <w:t>剩余风险进行逐项估计，确认均达到可接受水平。评价方法至少采用YY/T 0316标准附录D半定量分析法，即每项风险危害的严重度、发生概率定性和半定量分级。</w:t>
      </w:r>
    </w:p>
    <w:p>
      <w:pPr>
        <w:overflowPunct w:val="0"/>
        <w:autoSpaceDE w:val="0"/>
        <w:autoSpaceDN w:val="0"/>
        <w:adjustRightInd w:val="0"/>
        <w:spacing w:line="560" w:lineRule="exact"/>
        <w:ind w:firstLine="640" w:firstLineChars="200"/>
        <w:rPr>
          <w:rFonts w:eastAsia="仿宋_GB2312"/>
          <w:snapToGrid w:val="0"/>
          <w:color w:val="000000"/>
          <w:kern w:val="0"/>
          <w:sz w:val="32"/>
          <w:szCs w:val="32"/>
          <w:lang w:val="zh-CN"/>
        </w:rPr>
      </w:pPr>
    </w:p>
    <w:p>
      <w:pPr>
        <w:overflowPunct w:val="0"/>
        <w:autoSpaceDE w:val="0"/>
        <w:autoSpaceDN w:val="0"/>
        <w:adjustRightInd w:val="0"/>
        <w:spacing w:line="560" w:lineRule="exact"/>
        <w:ind w:firstLine="560" w:firstLineChars="200"/>
        <w:jc w:val="center"/>
        <w:rPr>
          <w:rFonts w:eastAsia="黑体" w:cs="黑体"/>
          <w:bCs/>
          <w:snapToGrid w:val="0"/>
          <w:color w:val="000000"/>
          <w:kern w:val="0"/>
          <w:sz w:val="28"/>
          <w:szCs w:val="28"/>
          <w:lang w:val="zh-CN"/>
        </w:rPr>
      </w:pPr>
      <w:r>
        <w:rPr>
          <w:rFonts w:hint="eastAsia" w:eastAsia="黑体" w:cs="黑体"/>
          <w:bCs/>
          <w:snapToGrid w:val="0"/>
          <w:color w:val="000000"/>
          <w:kern w:val="0"/>
          <w:sz w:val="28"/>
          <w:szCs w:val="28"/>
          <w:lang w:val="zh-CN"/>
        </w:rPr>
        <w:t>严重度定性分5级的示例表</w:t>
      </w:r>
    </w:p>
    <w:tbl>
      <w:tblPr>
        <w:tblStyle w:val="17"/>
        <w:tblW w:w="0" w:type="auto"/>
        <w:jc w:val="center"/>
        <w:tblLayout w:type="fixed"/>
        <w:tblCellMar>
          <w:top w:w="57" w:type="dxa"/>
          <w:left w:w="57" w:type="dxa"/>
          <w:bottom w:w="57" w:type="dxa"/>
          <w:right w:w="57" w:type="dxa"/>
        </w:tblCellMar>
      </w:tblPr>
      <w:tblGrid>
        <w:gridCol w:w="2941"/>
        <w:gridCol w:w="5386"/>
      </w:tblGrid>
      <w:tr>
        <w:tblPrEx>
          <w:tblCellMar>
            <w:top w:w="57" w:type="dxa"/>
            <w:left w:w="57" w:type="dxa"/>
            <w:bottom w:w="57" w:type="dxa"/>
            <w:right w:w="57" w:type="dxa"/>
          </w:tblCellMar>
        </w:tblPrEx>
        <w:trPr>
          <w:trHeight w:val="451"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rPr>
            </w:pPr>
            <w:r>
              <w:rPr>
                <w:rFonts w:hint="eastAsia" w:eastAsia="黑体" w:cs="黑体"/>
                <w:snapToGrid w:val="0"/>
                <w:color w:val="000000"/>
                <w:kern w:val="0"/>
                <w:sz w:val="28"/>
                <w:lang w:val="zh-CN"/>
              </w:rPr>
              <w:t>术语</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rPr>
            </w:pPr>
            <w:r>
              <w:rPr>
                <w:rFonts w:hint="eastAsia" w:eastAsia="黑体" w:cs="黑体"/>
                <w:snapToGrid w:val="0"/>
                <w:color w:val="000000"/>
                <w:kern w:val="0"/>
                <w:sz w:val="28"/>
                <w:lang w:val="zh-CN"/>
              </w:rPr>
              <w:t>可能描述</w:t>
            </w:r>
          </w:p>
        </w:tc>
      </w:tr>
      <w:tr>
        <w:tblPrEx>
          <w:tblCellMar>
            <w:top w:w="57" w:type="dxa"/>
            <w:left w:w="57" w:type="dxa"/>
            <w:bottom w:w="57" w:type="dxa"/>
            <w:right w:w="57" w:type="dxa"/>
          </w:tblCellMar>
        </w:tblPrEx>
        <w:trPr>
          <w:trHeight w:val="472"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灾难性的</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导致患者死亡</w:t>
            </w:r>
          </w:p>
        </w:tc>
      </w:tr>
      <w:tr>
        <w:tblPrEx>
          <w:tblCellMar>
            <w:top w:w="57" w:type="dxa"/>
            <w:left w:w="57" w:type="dxa"/>
            <w:bottom w:w="57" w:type="dxa"/>
            <w:right w:w="57" w:type="dxa"/>
          </w:tblCellMar>
        </w:tblPrEx>
        <w:trPr>
          <w:trHeight w:val="450"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危重的</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导致永久性损伤或危及生命的伤害</w:t>
            </w:r>
          </w:p>
        </w:tc>
      </w:tr>
      <w:tr>
        <w:tblPrEx>
          <w:tblCellMar>
            <w:top w:w="57" w:type="dxa"/>
            <w:left w:w="57" w:type="dxa"/>
            <w:bottom w:w="57" w:type="dxa"/>
            <w:right w:w="57" w:type="dxa"/>
          </w:tblCellMar>
        </w:tblPrEx>
        <w:trPr>
          <w:trHeight w:val="456"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严重</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导致要求专业医疗介入的伤害或损伤</w:t>
            </w:r>
          </w:p>
        </w:tc>
      </w:tr>
      <w:tr>
        <w:tblPrEx>
          <w:tblCellMar>
            <w:top w:w="57" w:type="dxa"/>
            <w:left w:w="57" w:type="dxa"/>
            <w:bottom w:w="57" w:type="dxa"/>
            <w:right w:w="57" w:type="dxa"/>
          </w:tblCellMar>
        </w:tblPrEx>
        <w:trPr>
          <w:trHeight w:val="461"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轻度</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导致不要求专业医疗介入的暂时伤害或损伤</w:t>
            </w:r>
          </w:p>
        </w:tc>
      </w:tr>
      <w:tr>
        <w:tblPrEx>
          <w:tblCellMar>
            <w:top w:w="57" w:type="dxa"/>
            <w:left w:w="57" w:type="dxa"/>
            <w:bottom w:w="57" w:type="dxa"/>
            <w:right w:w="57" w:type="dxa"/>
          </w:tblCellMar>
        </w:tblPrEx>
        <w:trPr>
          <w:trHeight w:val="552"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可忽略</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不便或暂时不适</w:t>
            </w:r>
          </w:p>
        </w:tc>
      </w:tr>
    </w:tbl>
    <w:p>
      <w:pPr>
        <w:overflowPunct w:val="0"/>
        <w:autoSpaceDE w:val="0"/>
        <w:autoSpaceDN w:val="0"/>
        <w:adjustRightInd w:val="0"/>
        <w:spacing w:line="560" w:lineRule="exact"/>
        <w:rPr>
          <w:rFonts w:eastAsia="仿宋_GB2312"/>
          <w:b/>
          <w:bCs/>
          <w:snapToGrid w:val="0"/>
          <w:color w:val="000000"/>
          <w:kern w:val="0"/>
          <w:sz w:val="28"/>
          <w:szCs w:val="28"/>
          <w:lang w:val="zh-CN"/>
        </w:rPr>
      </w:pPr>
    </w:p>
    <w:p>
      <w:pPr>
        <w:overflowPunct w:val="0"/>
        <w:autoSpaceDE w:val="0"/>
        <w:autoSpaceDN w:val="0"/>
        <w:adjustRightInd w:val="0"/>
        <w:spacing w:line="560" w:lineRule="exact"/>
        <w:ind w:firstLine="560" w:firstLineChars="200"/>
        <w:jc w:val="center"/>
        <w:rPr>
          <w:rFonts w:eastAsia="黑体" w:cs="黑体"/>
          <w:bCs/>
          <w:snapToGrid w:val="0"/>
          <w:color w:val="000000"/>
          <w:kern w:val="0"/>
          <w:sz w:val="28"/>
          <w:szCs w:val="28"/>
          <w:lang w:val="zh-CN"/>
        </w:rPr>
      </w:pPr>
      <w:r>
        <w:rPr>
          <w:rFonts w:hint="eastAsia" w:eastAsia="黑体" w:cs="黑体"/>
          <w:bCs/>
          <w:snapToGrid w:val="0"/>
          <w:color w:val="000000"/>
          <w:kern w:val="0"/>
          <w:sz w:val="28"/>
          <w:szCs w:val="28"/>
          <w:lang w:val="zh-CN"/>
        </w:rPr>
        <w:t>半定量概率分级示例表</w:t>
      </w:r>
    </w:p>
    <w:tbl>
      <w:tblPr>
        <w:tblStyle w:val="17"/>
        <w:tblW w:w="0" w:type="auto"/>
        <w:jc w:val="center"/>
        <w:tblLayout w:type="fixed"/>
        <w:tblCellMar>
          <w:top w:w="57" w:type="dxa"/>
          <w:left w:w="57" w:type="dxa"/>
          <w:bottom w:w="57" w:type="dxa"/>
          <w:right w:w="57" w:type="dxa"/>
        </w:tblCellMar>
      </w:tblPr>
      <w:tblGrid>
        <w:gridCol w:w="2827"/>
        <w:gridCol w:w="5422"/>
      </w:tblGrid>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szCs w:val="28"/>
              </w:rPr>
            </w:pPr>
            <w:r>
              <w:rPr>
                <w:rFonts w:hint="eastAsia" w:eastAsia="黑体" w:cs="黑体"/>
                <w:snapToGrid w:val="0"/>
                <w:color w:val="000000"/>
                <w:kern w:val="0"/>
                <w:sz w:val="28"/>
                <w:szCs w:val="28"/>
                <w:lang w:val="zh-CN"/>
              </w:rPr>
              <w:t>术语</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szCs w:val="28"/>
              </w:rPr>
            </w:pPr>
            <w:r>
              <w:rPr>
                <w:rFonts w:hint="eastAsia" w:eastAsia="黑体" w:cs="黑体"/>
                <w:snapToGrid w:val="0"/>
                <w:color w:val="000000"/>
                <w:kern w:val="0"/>
                <w:sz w:val="28"/>
                <w:szCs w:val="28"/>
                <w:lang w:val="zh-CN"/>
              </w:rPr>
              <w:t>概率范围示例</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经常</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－3</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有时</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 xml:space="preserve">－3 </w:t>
            </w:r>
            <w:r>
              <w:rPr>
                <w:rFonts w:hint="eastAsia" w:eastAsia="仿宋_GB2312" w:cs="仿宋_GB2312"/>
                <w:snapToGrid w:val="0"/>
                <w:color w:val="000000"/>
                <w:kern w:val="0"/>
                <w:sz w:val="28"/>
                <w:szCs w:val="28"/>
                <w:lang w:val="zh-CN"/>
              </w:rPr>
              <w:t>≥ 10</w:t>
            </w:r>
            <w:r>
              <w:rPr>
                <w:rFonts w:hint="eastAsia" w:eastAsia="仿宋_GB2312" w:cs="仿宋_GB2312"/>
                <w:snapToGrid w:val="0"/>
                <w:color w:val="000000"/>
                <w:kern w:val="0"/>
                <w:sz w:val="28"/>
                <w:szCs w:val="28"/>
                <w:vertAlign w:val="superscript"/>
                <w:lang w:val="zh-CN"/>
              </w:rPr>
              <w:t>－4</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偶然</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 xml:space="preserve">－4 </w:t>
            </w:r>
            <w:r>
              <w:rPr>
                <w:rFonts w:hint="eastAsia" w:eastAsia="仿宋_GB2312" w:cs="仿宋_GB2312"/>
                <w:snapToGrid w:val="0"/>
                <w:color w:val="000000"/>
                <w:kern w:val="0"/>
                <w:sz w:val="28"/>
                <w:szCs w:val="28"/>
                <w:lang w:val="zh-CN"/>
              </w:rPr>
              <w:t>≥ 10</w:t>
            </w:r>
            <w:r>
              <w:rPr>
                <w:rFonts w:hint="eastAsia" w:eastAsia="仿宋_GB2312" w:cs="仿宋_GB2312"/>
                <w:snapToGrid w:val="0"/>
                <w:color w:val="000000"/>
                <w:kern w:val="0"/>
                <w:sz w:val="28"/>
                <w:szCs w:val="28"/>
                <w:vertAlign w:val="superscript"/>
                <w:lang w:val="zh-CN"/>
              </w:rPr>
              <w:t>－5</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很少</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 xml:space="preserve">－5 </w:t>
            </w:r>
            <w:r>
              <w:rPr>
                <w:rFonts w:hint="eastAsia" w:eastAsia="仿宋_GB2312" w:cs="仿宋_GB2312"/>
                <w:snapToGrid w:val="0"/>
                <w:color w:val="000000"/>
                <w:kern w:val="0"/>
                <w:sz w:val="28"/>
                <w:szCs w:val="28"/>
                <w:lang w:val="zh-CN"/>
              </w:rPr>
              <w:t>≥ 10</w:t>
            </w:r>
            <w:r>
              <w:rPr>
                <w:rFonts w:hint="eastAsia" w:eastAsia="仿宋_GB2312" w:cs="仿宋_GB2312"/>
                <w:snapToGrid w:val="0"/>
                <w:color w:val="000000"/>
                <w:kern w:val="0"/>
                <w:sz w:val="28"/>
                <w:szCs w:val="28"/>
                <w:vertAlign w:val="superscript"/>
                <w:lang w:val="zh-CN"/>
              </w:rPr>
              <w:t>－6</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非常少</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－6</w:t>
            </w:r>
          </w:p>
        </w:tc>
      </w:tr>
    </w:tbl>
    <w:p>
      <w:pPr>
        <w:keepNext w:val="0"/>
        <w:keepLines w:val="0"/>
        <w:pageBreakBefore w:val="0"/>
        <w:widowControl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p>
    <w:p>
      <w:pPr>
        <w:keepNext w:val="0"/>
        <w:keepLines w:val="0"/>
        <w:pageBreakBefore w:val="0"/>
        <w:widowControl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r>
        <w:rPr>
          <w:rFonts w:eastAsia="仿宋_GB2312"/>
          <w:snapToGrid w:val="0"/>
          <w:color w:val="000000"/>
          <w:kern w:val="0"/>
          <w:sz w:val="32"/>
          <w:szCs w:val="32"/>
          <w:lang w:val="zh-CN"/>
        </w:rPr>
        <w:t>为每项风险在二维风险图绘制风险位置点，</w:t>
      </w:r>
      <w:r>
        <w:rPr>
          <w:rFonts w:eastAsia="仿宋_GB2312"/>
          <w:snapToGrid w:val="0"/>
          <w:kern w:val="0"/>
          <w:sz w:val="32"/>
          <w:szCs w:val="32"/>
          <w:lang w:val="zh-CN"/>
        </w:rPr>
        <w:t>应确保每项剩余风险均在可接受的区域内（下表空白格内）。</w:t>
      </w:r>
    </w:p>
    <w:p>
      <w:pPr>
        <w:keepNext w:val="0"/>
        <w:keepLines w:val="0"/>
        <w:pageBreakBefore w:val="0"/>
        <w:widowControl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p>
    <w:tbl>
      <w:tblPr>
        <w:tblStyle w:val="17"/>
        <w:tblW w:w="0" w:type="auto"/>
        <w:jc w:val="center"/>
        <w:tblLayout w:type="fixed"/>
        <w:tblCellMar>
          <w:top w:w="0" w:type="dxa"/>
          <w:left w:w="108" w:type="dxa"/>
          <w:bottom w:w="0" w:type="dxa"/>
          <w:right w:w="108" w:type="dxa"/>
        </w:tblCellMar>
      </w:tblPr>
      <w:tblGrid>
        <w:gridCol w:w="1135"/>
        <w:gridCol w:w="1591"/>
        <w:gridCol w:w="1217"/>
        <w:gridCol w:w="1217"/>
        <w:gridCol w:w="1218"/>
        <w:gridCol w:w="1218"/>
        <w:gridCol w:w="1218"/>
      </w:tblGrid>
      <w:tr>
        <w:tblPrEx>
          <w:tblCellMar>
            <w:top w:w="0" w:type="dxa"/>
            <w:left w:w="108" w:type="dxa"/>
            <w:bottom w:w="0" w:type="dxa"/>
            <w:right w:w="108" w:type="dxa"/>
          </w:tblCellMar>
        </w:tblPrEx>
        <w:trPr>
          <w:jc w:val="center"/>
        </w:trPr>
        <w:tc>
          <w:tcPr>
            <w:tcW w:w="1135"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7679" w:type="dxa"/>
            <w:gridSpan w:val="6"/>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黑体" w:cs="黑体"/>
                <w:snapToGrid w:val="0"/>
                <w:color w:val="000000"/>
                <w:kern w:val="0"/>
                <w:sz w:val="28"/>
                <w:szCs w:val="28"/>
                <w:lang w:val="zh-CN"/>
              </w:rPr>
              <w:t>定性的严重度水平</w:t>
            </w:r>
          </w:p>
        </w:tc>
      </w:tr>
      <w:tr>
        <w:tblPrEx>
          <w:tblCellMar>
            <w:top w:w="0" w:type="dxa"/>
            <w:left w:w="108" w:type="dxa"/>
            <w:bottom w:w="0" w:type="dxa"/>
            <w:right w:w="108" w:type="dxa"/>
          </w:tblCellMar>
        </w:tblPrEx>
        <w:trPr>
          <w:jc w:val="center"/>
        </w:trPr>
        <w:tc>
          <w:tcPr>
            <w:tcW w:w="1135" w:type="dxa"/>
            <w:vMerge w:val="restart"/>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半</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定</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量</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的</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概</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率</w:t>
            </w: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可忽略</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较小的</w:t>
            </w: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严重</w:t>
            </w: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危重的</w:t>
            </w: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灾难的</w:t>
            </w: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经常</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有时</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偶然</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很少</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非常少</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bl>
    <w:p>
      <w:pPr>
        <w:overflowPunct w:val="0"/>
        <w:autoSpaceDE w:val="0"/>
        <w:autoSpaceDN w:val="0"/>
        <w:spacing w:line="560" w:lineRule="exact"/>
        <w:rPr>
          <w:rFonts w:eastAsia="仿宋_GB2312" w:cs="仿宋_GB2312"/>
          <w:snapToGrid w:val="0"/>
          <w:kern w:val="0"/>
          <w:sz w:val="28"/>
          <w:szCs w:val="28"/>
        </w:rPr>
      </w:pPr>
    </w:p>
    <w:p>
      <w:pPr>
        <w:pStyle w:val="30"/>
        <w:numPr>
          <w:ilvl w:val="0"/>
          <w:numId w:val="2"/>
        </w:numPr>
        <w:overflowPunct w:val="0"/>
        <w:autoSpaceDE w:val="0"/>
        <w:autoSpaceDN w:val="0"/>
        <w:spacing w:line="560" w:lineRule="exact"/>
        <w:ind w:left="0" w:firstLine="640"/>
        <w:outlineLvl w:val="1"/>
        <w:rPr>
          <w:rFonts w:ascii="Times New Roman" w:hAnsi="Times New Roman" w:eastAsia="黑体"/>
          <w:snapToGrid w:val="0"/>
          <w:kern w:val="0"/>
          <w:sz w:val="32"/>
          <w:szCs w:val="32"/>
        </w:rPr>
      </w:pPr>
      <w:bookmarkStart w:id="8" w:name="_Toc430317322"/>
      <w:r>
        <w:rPr>
          <w:rFonts w:ascii="Times New Roman" w:hAnsi="Times New Roman" w:eastAsia="黑体"/>
          <w:snapToGrid w:val="0"/>
          <w:kern w:val="0"/>
          <w:sz w:val="32"/>
          <w:szCs w:val="32"/>
        </w:rPr>
        <w:t>风险评审小组全体成员应审核并确认评审结论</w:t>
      </w:r>
      <w:bookmarkEnd w:id="8"/>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overflowPunct w:val="0"/>
        <w:autoSpaceDE w:val="0"/>
        <w:autoSpaceDN w:val="0"/>
        <w:spacing w:line="560" w:lineRule="exact"/>
        <w:outlineLvl w:val="0"/>
        <w:rPr>
          <w:rFonts w:hint="default" w:ascii="黑体" w:hAnsi="黑体" w:eastAsia="黑体" w:cs="黑体"/>
          <w:snapToGrid w:val="0"/>
          <w:kern w:val="0"/>
          <w:sz w:val="32"/>
          <w:szCs w:val="32"/>
          <w:lang w:val="en-US" w:eastAsia="zh-CN"/>
        </w:rPr>
      </w:pPr>
      <w:r>
        <w:rPr>
          <w:rFonts w:hint="eastAsia" w:ascii="黑体" w:hAnsi="黑体" w:eastAsia="黑体" w:cs="黑体"/>
          <w:snapToGrid w:val="0"/>
          <w:kern w:val="0"/>
          <w:sz w:val="32"/>
          <w:szCs w:val="32"/>
          <w:lang w:eastAsia="zh-CN"/>
        </w:rPr>
        <w:t>附录</w:t>
      </w:r>
      <w:r>
        <w:rPr>
          <w:rFonts w:hint="eastAsia" w:ascii="黑体" w:hAnsi="黑体" w:eastAsia="黑体" w:cs="黑体"/>
          <w:snapToGrid w:val="0"/>
          <w:kern w:val="0"/>
          <w:sz w:val="32"/>
          <w:szCs w:val="32"/>
          <w:lang w:val="en-US" w:eastAsia="zh-CN"/>
        </w:rPr>
        <w:t>B</w: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简体" w:cs="Times New Roman"/>
          <w:color w:val="000000"/>
          <w:sz w:val="44"/>
          <w:szCs w:val="44"/>
          <w:lang w:val="en-US" w:eastAsia="zh-CN"/>
        </w:rPr>
      </w:pPr>
      <w:r>
        <w:rPr>
          <w:rFonts w:hint="default" w:ascii="Times New Roman" w:hAnsi="Times New Roman" w:eastAsia="方正小标宋简体" w:cs="Times New Roman"/>
          <w:color w:val="000000"/>
          <w:sz w:val="44"/>
          <w:szCs w:val="44"/>
          <w:lang w:val="en-US" w:eastAsia="zh-CN"/>
        </w:rPr>
        <w:t>相关非医疗器械标准或资料</w:t>
      </w:r>
    </w:p>
    <w:p>
      <w:pPr>
        <w:spacing w:line="560" w:lineRule="exact"/>
        <w:rPr>
          <w:rFonts w:hint="default" w:ascii="Times New Roman" w:hAnsi="Times New Roman" w:eastAsia="仿宋" w:cs="Times New Roman"/>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 xml:space="preserve">1. </w:t>
      </w:r>
      <w:r>
        <w:rPr>
          <w:rFonts w:hint="default" w:ascii="Times New Roman" w:hAnsi="Times New Roman" w:eastAsia="仿宋_GB2312" w:cs="Times New Roman"/>
          <w:color w:val="000000"/>
          <w:sz w:val="32"/>
          <w:szCs w:val="32"/>
          <w:lang w:val="en-US" w:eastAsia="zh-CN"/>
        </w:rPr>
        <w:t>GB/T 191《包装储运图示标志》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000000"/>
          <w:sz w:val="32"/>
          <w:szCs w:val="32"/>
          <w:lang w:val="en-US" w:eastAsia="zh-CN"/>
        </w:rPr>
      </w:pPr>
      <w:r>
        <w:rPr>
          <w:rFonts w:hint="eastAsia"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val="en-US" w:eastAsia="zh-CN"/>
        </w:rPr>
        <w:t>《中华人民共和国药典》</w:t>
      </w: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spacing w:line="540" w:lineRule="exact"/>
        <w:outlineLvl w:val="0"/>
        <w:rPr>
          <w:rFonts w:hint="eastAsia" w:ascii="仿宋" w:hAnsi="仿宋" w:eastAsia="仿宋" w:cs="仿宋"/>
          <w:color w:val="000000"/>
          <w:sz w:val="30"/>
          <w:szCs w:val="30"/>
          <w:highlight w:val="none"/>
        </w:rPr>
      </w:pPr>
    </w:p>
    <w:p>
      <w:pPr>
        <w:pStyle w:val="16"/>
        <w:bidi w:val="0"/>
        <w:rPr>
          <w:rFonts w:hint="eastAsia"/>
        </w:rPr>
      </w:pPr>
      <w:r>
        <w:rPr>
          <w:rFonts w:hint="eastAsia"/>
          <w:lang w:val="en-US" w:eastAsia="zh-CN"/>
        </w:rPr>
        <w:t>非慢性创面敷贴</w:t>
      </w:r>
      <w:r>
        <w:rPr>
          <w:rFonts w:hint="eastAsia"/>
        </w:rPr>
        <w:t>产品注册技术审查指导原则</w:t>
      </w:r>
    </w:p>
    <w:p>
      <w:pPr>
        <w:pStyle w:val="16"/>
        <w:bidi w:val="0"/>
        <w:rPr>
          <w:rFonts w:hint="eastAsia"/>
        </w:rPr>
      </w:pPr>
      <w:r>
        <w:rPr>
          <w:rFonts w:hint="eastAsia"/>
        </w:rPr>
        <w:t>编制说明</w:t>
      </w:r>
    </w:p>
    <w:p>
      <w:pPr>
        <w:spacing w:line="520" w:lineRule="exact"/>
        <w:jc w:val="center"/>
        <w:rPr>
          <w:rFonts w:hint="eastAsia" w:ascii="仿宋" w:hAnsi="仿宋" w:eastAsia="仿宋"/>
          <w:sz w:val="32"/>
          <w:szCs w:val="32"/>
        </w:rPr>
      </w:pPr>
    </w:p>
    <w:p>
      <w:pPr>
        <w:pStyle w:val="2"/>
        <w:bidi w:val="0"/>
        <w:rPr>
          <w:rFonts w:hint="eastAsia" w:ascii="黑体" w:hAnsi="黑体" w:eastAsia="黑体"/>
          <w:sz w:val="32"/>
          <w:szCs w:val="32"/>
        </w:rPr>
      </w:pPr>
      <w:r>
        <w:rPr>
          <w:rFonts w:hint="eastAsia" w:ascii="黑体" w:hAnsi="黑体" w:eastAsia="黑体"/>
          <w:sz w:val="32"/>
          <w:szCs w:val="32"/>
        </w:rPr>
        <w:t>一、</w:t>
      </w:r>
      <w:r>
        <w:rPr>
          <w:rFonts w:hint="eastAsia" w:ascii="黑体" w:hAnsi="宋体" w:eastAsia="黑体"/>
          <w:sz w:val="32"/>
          <w:szCs w:val="32"/>
        </w:rPr>
        <w:t>指导原则起草目的和背景</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（一）本指导原则编写的目的是用于指导和规范第二类非慢性创面敷贴产品注册申报过程中审查人员对注册材料的技术审评。</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二）本规范旨在让初次接触该类产品的注册审查人员对产品原理、结构、主要性能、预期用途等各个方面有个基本了解，同时让技术审查人员在产品注册技术审评时把握基本的尺度，对产品安全性、有效性作出系统评价。</w:t>
      </w:r>
    </w:p>
    <w:p>
      <w:pPr>
        <w:pStyle w:val="2"/>
        <w:bidi w:val="0"/>
        <w:rPr>
          <w:rFonts w:hint="eastAsia" w:ascii="黑体" w:hAnsi="黑体" w:eastAsia="黑体"/>
          <w:sz w:val="32"/>
          <w:szCs w:val="32"/>
        </w:rPr>
      </w:pPr>
      <w:r>
        <w:rPr>
          <w:rFonts w:hint="eastAsia" w:ascii="黑体" w:hAnsi="黑体" w:eastAsia="黑体"/>
          <w:sz w:val="32"/>
          <w:szCs w:val="32"/>
        </w:rPr>
        <w:t>二、</w:t>
      </w:r>
      <w:r>
        <w:rPr>
          <w:rFonts w:hint="eastAsia" w:ascii="黑体" w:hAnsi="宋体" w:eastAsia="黑体"/>
          <w:sz w:val="32"/>
          <w:szCs w:val="32"/>
        </w:rPr>
        <w:t>指导原则</w:t>
      </w:r>
      <w:r>
        <w:rPr>
          <w:rFonts w:hint="eastAsia" w:ascii="黑体" w:hAnsi="黑体" w:eastAsia="黑体"/>
          <w:sz w:val="32"/>
          <w:szCs w:val="32"/>
        </w:rPr>
        <w:t>编写的依据</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（一）《医疗器械监督管理条例》</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（二）《医疗器械注册与备案管理办法》</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（三）《医疗器械说明书和标签管理规定》</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（四）《医疗器械产品技术要求编写指导原则》</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（五）《免于临床评价医疗器械目录》</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（六）国家药品监督管理部门发布的其他规范性文件</w:t>
      </w:r>
    </w:p>
    <w:p>
      <w:pPr>
        <w:pStyle w:val="2"/>
        <w:bidi w:val="0"/>
        <w:rPr>
          <w:rFonts w:hint="eastAsia" w:ascii="黑体" w:hAnsi="黑体" w:eastAsia="黑体"/>
          <w:sz w:val="32"/>
          <w:szCs w:val="32"/>
        </w:rPr>
      </w:pPr>
      <w:r>
        <w:rPr>
          <w:rFonts w:hint="eastAsia" w:ascii="黑体" w:hAnsi="黑体" w:eastAsia="黑体"/>
          <w:sz w:val="32"/>
          <w:szCs w:val="32"/>
        </w:rPr>
        <w:t>三、</w:t>
      </w:r>
      <w:r>
        <w:rPr>
          <w:rFonts w:hint="eastAsia" w:ascii="黑体" w:hAnsi="宋体" w:eastAsia="黑体"/>
          <w:sz w:val="32"/>
          <w:szCs w:val="32"/>
        </w:rPr>
        <w:t>指导原则</w:t>
      </w:r>
      <w:r>
        <w:rPr>
          <w:rFonts w:hint="eastAsia" w:ascii="黑体" w:hAnsi="黑体" w:eastAsia="黑体"/>
          <w:sz w:val="32"/>
          <w:szCs w:val="32"/>
        </w:rPr>
        <w:t>中重点内容说明</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（一）根据《医疗器械分类目录》、《医疗器械分类规则》确定了非慢性创面敷贴的管理类别并参考专家意见确定了适用范围。</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三）根据产品注册要求，明确了产品研究资料部分，包括产品性能研究、生物相容性评价研究、灭菌工艺研究、产品包装和有效期研究；明确了产品生产工艺过程，及过程质量控制点；明确了产品的临床评价细化要求。</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（四）产品的主要风险参照YY/T 0316中附录E进行。</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（五）企业生产制造应满足法规、质量管理体系的要求。</w:t>
      </w:r>
    </w:p>
    <w:p>
      <w:pPr>
        <w:pStyle w:val="2"/>
        <w:bidi w:val="0"/>
        <w:rPr>
          <w:rFonts w:hint="eastAsia"/>
        </w:rPr>
      </w:pPr>
      <w:r>
        <w:rPr>
          <w:rFonts w:hint="eastAsia"/>
        </w:rPr>
        <w:t>四、指导原则编写单位</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河南省食品药品审评查验中心。</w:t>
      </w:r>
    </w:p>
    <w:p>
      <w:pPr>
        <w:pageBreakBefore w:val="0"/>
        <w:widowControl w:val="0"/>
        <w:numPr>
          <w:ilvl w:val="0"/>
          <w:numId w:val="0"/>
        </w:numPr>
        <w:kinsoku/>
        <w:wordWrap/>
        <w:topLinePunct w:val="0"/>
        <w:bidi w:val="0"/>
        <w:snapToGrid/>
        <w:spacing w:line="520" w:lineRule="exact"/>
        <w:ind w:firstLine="420" w:firstLineChars="200"/>
        <w:textAlignment w:val="auto"/>
        <w:rPr>
          <w:rFonts w:hint="eastAsia"/>
          <w:lang w:eastAsia="zh-CN"/>
        </w:rPr>
      </w:pPr>
    </w:p>
    <w:sectPr>
      <w:footerReference r:id="rId3" w:type="default"/>
      <w:pgSz w:w="11906" w:h="16838"/>
      <w:pgMar w:top="1928" w:right="1531" w:bottom="1814" w:left="1531"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MS Shell Dlg">
    <w:altName w:val="Microsoft Sans Serif"/>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1002AFF" w:usb1="C0000002" w:usb2="00000008" w:usb3="00000000" w:csb0="200101FF" w:csb1="20280000"/>
  </w:font>
  <w:font w:name="Ligature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ordWrap w:val="0"/>
      <w:jc w:val="right"/>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16</w:t>
    </w:r>
    <w:r>
      <w:rPr>
        <w:sz w:val="28"/>
        <w:szCs w:val="28"/>
      </w:rPr>
      <w:fldChar w:fldCharType="end"/>
    </w:r>
    <w:r>
      <w:rPr>
        <w:rFonts w:hint="eastAsia"/>
        <w:sz w:val="28"/>
        <w:szCs w:val="28"/>
      </w:rPr>
      <w:t>—</w:t>
    </w:r>
    <w:r>
      <w:rPr>
        <w:rFonts w:hint="eastAsia"/>
        <w:color w:val="FFFFFF"/>
        <w:sz w:val="28"/>
        <w:szCs w:val="28"/>
      </w:rPr>
      <w:t>—</w:t>
    </w:r>
  </w:p>
  <w:p>
    <w:pPr>
      <w:pStyle w:val="1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0C2FF9"/>
    <w:multiLevelType w:val="singleLevel"/>
    <w:tmpl w:val="F80C2FF9"/>
    <w:lvl w:ilvl="0" w:tentative="0">
      <w:start w:val="3"/>
      <w:numFmt w:val="chineseCounting"/>
      <w:suff w:val="nothing"/>
      <w:lvlText w:val="（%1）"/>
      <w:lvlJc w:val="left"/>
      <w:rPr>
        <w:rFonts w:hint="eastAsia"/>
      </w:rPr>
    </w:lvl>
  </w:abstractNum>
  <w:abstractNum w:abstractNumId="1">
    <w:nsid w:val="542674C4"/>
    <w:multiLevelType w:val="multilevel"/>
    <w:tmpl w:val="542674C4"/>
    <w:lvl w:ilvl="0" w:tentative="0">
      <w:start w:val="1"/>
      <w:numFmt w:val="chineseCountingThousand"/>
      <w:suff w:val="nothing"/>
      <w:lvlText w:val="%1、"/>
      <w:lvlJc w:val="left"/>
      <w:pPr>
        <w:ind w:left="1060" w:hanging="420"/>
      </w:pPr>
      <w:rPr>
        <w:rFonts w:hint="eastAsia" w:eastAsia="黑体"/>
        <w:sz w:val="32"/>
      </w:rPr>
    </w:lvl>
    <w:lvl w:ilvl="1" w:tentative="0">
      <w:start w:val="1"/>
      <w:numFmt w:val="japaneseCounting"/>
      <w:lvlText w:val="（%2）"/>
      <w:lvlJc w:val="left"/>
      <w:pPr>
        <w:ind w:left="2140" w:hanging="1080"/>
      </w:pPr>
      <w:rPr>
        <w:rFonts w:hint="default" w:eastAsia="楷体_GB2312"/>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E67B0"/>
    <w:rsid w:val="00063F44"/>
    <w:rsid w:val="00124240"/>
    <w:rsid w:val="001770C8"/>
    <w:rsid w:val="00206AD4"/>
    <w:rsid w:val="00570558"/>
    <w:rsid w:val="00673060"/>
    <w:rsid w:val="008A03AD"/>
    <w:rsid w:val="009251D0"/>
    <w:rsid w:val="00AE67B0"/>
    <w:rsid w:val="00C7342F"/>
    <w:rsid w:val="00E013DA"/>
    <w:rsid w:val="017130E4"/>
    <w:rsid w:val="01C009CA"/>
    <w:rsid w:val="0212061A"/>
    <w:rsid w:val="0421468E"/>
    <w:rsid w:val="04992649"/>
    <w:rsid w:val="04AC1588"/>
    <w:rsid w:val="04B9011A"/>
    <w:rsid w:val="04D67B02"/>
    <w:rsid w:val="059B7E3D"/>
    <w:rsid w:val="07076E2F"/>
    <w:rsid w:val="07931D5C"/>
    <w:rsid w:val="07D03742"/>
    <w:rsid w:val="08041C31"/>
    <w:rsid w:val="08197B83"/>
    <w:rsid w:val="085A341C"/>
    <w:rsid w:val="0A13351F"/>
    <w:rsid w:val="0A452A8A"/>
    <w:rsid w:val="0A8214C9"/>
    <w:rsid w:val="0AF65DA7"/>
    <w:rsid w:val="0BD139C0"/>
    <w:rsid w:val="0C736DF9"/>
    <w:rsid w:val="0D810FE7"/>
    <w:rsid w:val="0D972405"/>
    <w:rsid w:val="0DF82B65"/>
    <w:rsid w:val="0E1F16F0"/>
    <w:rsid w:val="0E571744"/>
    <w:rsid w:val="0ED92074"/>
    <w:rsid w:val="0F031635"/>
    <w:rsid w:val="0F856D88"/>
    <w:rsid w:val="0F9D5360"/>
    <w:rsid w:val="10286820"/>
    <w:rsid w:val="1071298A"/>
    <w:rsid w:val="108A4E0D"/>
    <w:rsid w:val="10DF77BC"/>
    <w:rsid w:val="11261E90"/>
    <w:rsid w:val="11640B14"/>
    <w:rsid w:val="11A4545D"/>
    <w:rsid w:val="13AF1558"/>
    <w:rsid w:val="13CD2309"/>
    <w:rsid w:val="13FF7BE2"/>
    <w:rsid w:val="14674C12"/>
    <w:rsid w:val="148E6052"/>
    <w:rsid w:val="149A4C5D"/>
    <w:rsid w:val="14F564B9"/>
    <w:rsid w:val="158F41A7"/>
    <w:rsid w:val="16124DD3"/>
    <w:rsid w:val="169C563F"/>
    <w:rsid w:val="17582EF0"/>
    <w:rsid w:val="17A16A5A"/>
    <w:rsid w:val="17AD3985"/>
    <w:rsid w:val="17C21163"/>
    <w:rsid w:val="182307F3"/>
    <w:rsid w:val="18397531"/>
    <w:rsid w:val="18751116"/>
    <w:rsid w:val="19E0289B"/>
    <w:rsid w:val="1A2E5F43"/>
    <w:rsid w:val="1A635601"/>
    <w:rsid w:val="1AFC5ED5"/>
    <w:rsid w:val="1B2A7B55"/>
    <w:rsid w:val="1B385E3D"/>
    <w:rsid w:val="1C3F5E21"/>
    <w:rsid w:val="1CFC387B"/>
    <w:rsid w:val="1D272E50"/>
    <w:rsid w:val="1D2A7C41"/>
    <w:rsid w:val="1E006F8C"/>
    <w:rsid w:val="1E6D6E4A"/>
    <w:rsid w:val="1E72771E"/>
    <w:rsid w:val="1EA64DCB"/>
    <w:rsid w:val="1EC672B5"/>
    <w:rsid w:val="1ECD0A05"/>
    <w:rsid w:val="1FCA227A"/>
    <w:rsid w:val="202D57A2"/>
    <w:rsid w:val="20F63EC2"/>
    <w:rsid w:val="2149369B"/>
    <w:rsid w:val="2157108C"/>
    <w:rsid w:val="22206769"/>
    <w:rsid w:val="225E6197"/>
    <w:rsid w:val="22F01DBB"/>
    <w:rsid w:val="24AB4B28"/>
    <w:rsid w:val="24BB1E1C"/>
    <w:rsid w:val="24F81439"/>
    <w:rsid w:val="2538582E"/>
    <w:rsid w:val="261C0B0F"/>
    <w:rsid w:val="262564A4"/>
    <w:rsid w:val="27087F8D"/>
    <w:rsid w:val="276E6F9E"/>
    <w:rsid w:val="27B42798"/>
    <w:rsid w:val="27EF67B8"/>
    <w:rsid w:val="28D87726"/>
    <w:rsid w:val="29B50DE5"/>
    <w:rsid w:val="2AB861D5"/>
    <w:rsid w:val="2B010565"/>
    <w:rsid w:val="2BAE056F"/>
    <w:rsid w:val="2C106780"/>
    <w:rsid w:val="2C4855DC"/>
    <w:rsid w:val="2CD24847"/>
    <w:rsid w:val="2D36088D"/>
    <w:rsid w:val="2D3A7708"/>
    <w:rsid w:val="2DC31982"/>
    <w:rsid w:val="2E392DF2"/>
    <w:rsid w:val="2E827A3A"/>
    <w:rsid w:val="2F496D2C"/>
    <w:rsid w:val="2F551597"/>
    <w:rsid w:val="2F6D7761"/>
    <w:rsid w:val="2FE31432"/>
    <w:rsid w:val="2FE91191"/>
    <w:rsid w:val="2FFD4B91"/>
    <w:rsid w:val="301E35FB"/>
    <w:rsid w:val="302526B0"/>
    <w:rsid w:val="309D368D"/>
    <w:rsid w:val="30D17D42"/>
    <w:rsid w:val="31000666"/>
    <w:rsid w:val="33C54868"/>
    <w:rsid w:val="34336581"/>
    <w:rsid w:val="350159F2"/>
    <w:rsid w:val="356674F0"/>
    <w:rsid w:val="36334E58"/>
    <w:rsid w:val="36A92CA7"/>
    <w:rsid w:val="377F73A9"/>
    <w:rsid w:val="38065195"/>
    <w:rsid w:val="384F5C81"/>
    <w:rsid w:val="38594DBD"/>
    <w:rsid w:val="38A2038C"/>
    <w:rsid w:val="38D14280"/>
    <w:rsid w:val="38EC3654"/>
    <w:rsid w:val="390C7234"/>
    <w:rsid w:val="39557C25"/>
    <w:rsid w:val="395F262D"/>
    <w:rsid w:val="39B508E7"/>
    <w:rsid w:val="39C15944"/>
    <w:rsid w:val="3A1F12DC"/>
    <w:rsid w:val="3A1F3FB6"/>
    <w:rsid w:val="3A436D12"/>
    <w:rsid w:val="3A9A09D7"/>
    <w:rsid w:val="3C0670EF"/>
    <w:rsid w:val="3C8F3CCC"/>
    <w:rsid w:val="3E025D53"/>
    <w:rsid w:val="3EA82AF3"/>
    <w:rsid w:val="3EB635FF"/>
    <w:rsid w:val="40071CEF"/>
    <w:rsid w:val="402B2BC7"/>
    <w:rsid w:val="403E5220"/>
    <w:rsid w:val="40CB2454"/>
    <w:rsid w:val="414F406C"/>
    <w:rsid w:val="429006A9"/>
    <w:rsid w:val="42A21A2C"/>
    <w:rsid w:val="431C79F2"/>
    <w:rsid w:val="43AE1ECB"/>
    <w:rsid w:val="43CD0965"/>
    <w:rsid w:val="43DF31AC"/>
    <w:rsid w:val="44E5426F"/>
    <w:rsid w:val="45241411"/>
    <w:rsid w:val="45244682"/>
    <w:rsid w:val="465A411A"/>
    <w:rsid w:val="46CD2952"/>
    <w:rsid w:val="46F15D39"/>
    <w:rsid w:val="4786734F"/>
    <w:rsid w:val="480D59A5"/>
    <w:rsid w:val="49B61BE6"/>
    <w:rsid w:val="49E84E92"/>
    <w:rsid w:val="4AD02D98"/>
    <w:rsid w:val="4B291841"/>
    <w:rsid w:val="4C6C35C8"/>
    <w:rsid w:val="4CF72322"/>
    <w:rsid w:val="4D285F6B"/>
    <w:rsid w:val="4D620BA5"/>
    <w:rsid w:val="4DE43D30"/>
    <w:rsid w:val="4E332928"/>
    <w:rsid w:val="4E4C2E8B"/>
    <w:rsid w:val="4E537E31"/>
    <w:rsid w:val="4F030867"/>
    <w:rsid w:val="4F5D427F"/>
    <w:rsid w:val="4FCD49C1"/>
    <w:rsid w:val="4FEA3B16"/>
    <w:rsid w:val="50DA1D30"/>
    <w:rsid w:val="512E070A"/>
    <w:rsid w:val="51541A54"/>
    <w:rsid w:val="519673E6"/>
    <w:rsid w:val="52312CF2"/>
    <w:rsid w:val="52813C76"/>
    <w:rsid w:val="528A01CD"/>
    <w:rsid w:val="53454757"/>
    <w:rsid w:val="53701192"/>
    <w:rsid w:val="54647E22"/>
    <w:rsid w:val="548801EF"/>
    <w:rsid w:val="548F15E1"/>
    <w:rsid w:val="54E53C18"/>
    <w:rsid w:val="54F11779"/>
    <w:rsid w:val="54F30F1A"/>
    <w:rsid w:val="55C07D80"/>
    <w:rsid w:val="5663747D"/>
    <w:rsid w:val="57483276"/>
    <w:rsid w:val="581B2D39"/>
    <w:rsid w:val="582F0D1D"/>
    <w:rsid w:val="5868272F"/>
    <w:rsid w:val="588072F9"/>
    <w:rsid w:val="588F6E32"/>
    <w:rsid w:val="59893513"/>
    <w:rsid w:val="59E6515D"/>
    <w:rsid w:val="5A6045CE"/>
    <w:rsid w:val="5B453564"/>
    <w:rsid w:val="5BA11046"/>
    <w:rsid w:val="5BF500BA"/>
    <w:rsid w:val="5C330A90"/>
    <w:rsid w:val="5C6A0689"/>
    <w:rsid w:val="5CCF29D2"/>
    <w:rsid w:val="5D334DF4"/>
    <w:rsid w:val="5DA3445C"/>
    <w:rsid w:val="5E6547A6"/>
    <w:rsid w:val="5E6B5710"/>
    <w:rsid w:val="5E817A96"/>
    <w:rsid w:val="5E877A81"/>
    <w:rsid w:val="5EA42319"/>
    <w:rsid w:val="5F336E1C"/>
    <w:rsid w:val="5F456C37"/>
    <w:rsid w:val="6067739C"/>
    <w:rsid w:val="6094082D"/>
    <w:rsid w:val="610B017B"/>
    <w:rsid w:val="618568BE"/>
    <w:rsid w:val="61884D49"/>
    <w:rsid w:val="62A44CE5"/>
    <w:rsid w:val="62CD1749"/>
    <w:rsid w:val="63330837"/>
    <w:rsid w:val="63515008"/>
    <w:rsid w:val="641250C9"/>
    <w:rsid w:val="645D4B25"/>
    <w:rsid w:val="64E763BE"/>
    <w:rsid w:val="659A65AE"/>
    <w:rsid w:val="66412C9D"/>
    <w:rsid w:val="666A4F3D"/>
    <w:rsid w:val="66BF4173"/>
    <w:rsid w:val="674F10F0"/>
    <w:rsid w:val="67D97296"/>
    <w:rsid w:val="67E3745E"/>
    <w:rsid w:val="67ED7B8D"/>
    <w:rsid w:val="684372D0"/>
    <w:rsid w:val="69EB39A9"/>
    <w:rsid w:val="6A7E7896"/>
    <w:rsid w:val="6AE70572"/>
    <w:rsid w:val="6B860C3D"/>
    <w:rsid w:val="6C717DC8"/>
    <w:rsid w:val="6C980573"/>
    <w:rsid w:val="6CA373E9"/>
    <w:rsid w:val="6CA77311"/>
    <w:rsid w:val="6D1A329E"/>
    <w:rsid w:val="6E0239DF"/>
    <w:rsid w:val="6E646CBB"/>
    <w:rsid w:val="6E8422F1"/>
    <w:rsid w:val="6F450A7C"/>
    <w:rsid w:val="6FCF30A1"/>
    <w:rsid w:val="70FC56EE"/>
    <w:rsid w:val="711443D7"/>
    <w:rsid w:val="71E16AFE"/>
    <w:rsid w:val="72510AB1"/>
    <w:rsid w:val="725D7A8E"/>
    <w:rsid w:val="72BC1852"/>
    <w:rsid w:val="73F21F3B"/>
    <w:rsid w:val="744532D1"/>
    <w:rsid w:val="751A0842"/>
    <w:rsid w:val="75715F7A"/>
    <w:rsid w:val="75B836A6"/>
    <w:rsid w:val="75DF2A94"/>
    <w:rsid w:val="75FE5CDD"/>
    <w:rsid w:val="77B60E6B"/>
    <w:rsid w:val="77C95300"/>
    <w:rsid w:val="77F46002"/>
    <w:rsid w:val="78091F31"/>
    <w:rsid w:val="78683EA2"/>
    <w:rsid w:val="78DD216B"/>
    <w:rsid w:val="79A61901"/>
    <w:rsid w:val="79CD53F1"/>
    <w:rsid w:val="7AA43AB8"/>
    <w:rsid w:val="7BC10238"/>
    <w:rsid w:val="7BDC1DDF"/>
    <w:rsid w:val="7BF16D69"/>
    <w:rsid w:val="7BF87296"/>
    <w:rsid w:val="7CAF60EE"/>
    <w:rsid w:val="7CFF315E"/>
    <w:rsid w:val="7D70484D"/>
    <w:rsid w:val="7E4747EE"/>
    <w:rsid w:val="7E885F3E"/>
    <w:rsid w:val="7ED942AA"/>
    <w:rsid w:val="7F7B464B"/>
    <w:rsid w:val="7FEE10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line="520" w:lineRule="exact"/>
      <w:ind w:leftChars="300"/>
      <w:jc w:val="left"/>
      <w:outlineLvl w:val="0"/>
    </w:pPr>
    <w:rPr>
      <w:rFonts w:ascii="Calibri" w:hAnsi="Calibri" w:eastAsia="黑体" w:cs="Calibri"/>
      <w:bCs/>
      <w:kern w:val="44"/>
      <w:sz w:val="32"/>
      <w:szCs w:val="44"/>
    </w:rPr>
  </w:style>
  <w:style w:type="paragraph" w:styleId="3">
    <w:name w:val="heading 2"/>
    <w:basedOn w:val="1"/>
    <w:next w:val="1"/>
    <w:unhideWhenUsed/>
    <w:qFormat/>
    <w:uiPriority w:val="9"/>
    <w:pPr>
      <w:keepNext/>
      <w:keepLines/>
      <w:spacing w:beforeLines="0" w:beforeAutospacing="0" w:afterLines="0" w:afterAutospacing="0" w:line="520" w:lineRule="exact"/>
      <w:ind w:left="0" w:leftChars="200"/>
      <w:jc w:val="left"/>
      <w:outlineLvl w:val="1"/>
    </w:pPr>
    <w:rPr>
      <w:rFonts w:ascii="Arial" w:hAnsi="Arial" w:eastAsia="楷体"/>
      <w:sz w:val="32"/>
    </w:rPr>
  </w:style>
  <w:style w:type="paragraph" w:styleId="4">
    <w:name w:val="heading 3"/>
    <w:basedOn w:val="1"/>
    <w:next w:val="2"/>
    <w:unhideWhenUsed/>
    <w:qFormat/>
    <w:uiPriority w:val="9"/>
    <w:pPr>
      <w:spacing w:beforeAutospacing="0" w:after="0" w:afterAutospacing="0" w:line="520" w:lineRule="exact"/>
      <w:ind w:leftChars="300"/>
      <w:jc w:val="left"/>
      <w:outlineLvl w:val="2"/>
    </w:pPr>
    <w:rPr>
      <w:rFonts w:hint="eastAsia" w:ascii="宋体" w:hAnsi="宋体" w:eastAsia="仿宋" w:cs="宋体"/>
      <w:kern w:val="0"/>
      <w:sz w:val="32"/>
      <w:szCs w:val="27"/>
      <w:lang w:bidi="ar"/>
    </w:rPr>
  </w:style>
  <w:style w:type="paragraph" w:styleId="5">
    <w:name w:val="heading 4"/>
    <w:basedOn w:val="1"/>
    <w:next w:val="1"/>
    <w:unhideWhenUsed/>
    <w:qFormat/>
    <w:uiPriority w:val="9"/>
    <w:pPr>
      <w:keepNext/>
      <w:keepLines/>
      <w:spacing w:beforeLines="0" w:beforeAutospacing="0" w:afterLines="0" w:afterAutospacing="0" w:line="520" w:lineRule="exact"/>
      <w:ind w:firstLine="880" w:firstLineChars="200"/>
      <w:outlineLvl w:val="3"/>
    </w:pPr>
    <w:rPr>
      <w:rFonts w:ascii="Arial" w:hAnsi="Arial" w:eastAsia="仿宋"/>
      <w:sz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29"/>
    <w:semiHidden/>
    <w:qFormat/>
    <w:uiPriority w:val="0"/>
    <w:pPr>
      <w:shd w:val="clear" w:color="auto" w:fill="000080"/>
    </w:pPr>
  </w:style>
  <w:style w:type="paragraph" w:styleId="7">
    <w:name w:val="annotation text"/>
    <w:basedOn w:val="1"/>
    <w:semiHidden/>
    <w:qFormat/>
    <w:uiPriority w:val="0"/>
    <w:pPr>
      <w:jc w:val="left"/>
    </w:pPr>
  </w:style>
  <w:style w:type="paragraph" w:styleId="8">
    <w:name w:val="Plain Text"/>
    <w:basedOn w:val="1"/>
    <w:link w:val="32"/>
    <w:unhideWhenUsed/>
    <w:qFormat/>
    <w:uiPriority w:val="99"/>
    <w:rPr>
      <w:rFonts w:ascii="宋体" w:hAnsi="宋体" w:eastAsia="仿宋_GB2312"/>
      <w:kern w:val="0"/>
      <w:sz w:val="28"/>
      <w:szCs w:val="21"/>
    </w:rPr>
  </w:style>
  <w:style w:type="paragraph" w:styleId="9">
    <w:name w:val="Body Text Indent 2"/>
    <w:basedOn w:val="1"/>
    <w:next w:val="10"/>
    <w:qFormat/>
    <w:uiPriority w:val="0"/>
    <w:pPr>
      <w:adjustRightInd/>
      <w:snapToGrid/>
      <w:spacing w:after="0" w:line="320" w:lineRule="exact"/>
      <w:ind w:firstLine="0" w:firstLineChars="0"/>
      <w:jc w:val="both"/>
    </w:pPr>
    <w:rPr>
      <w:rFonts w:ascii="宋体" w:hAnsi="宋体" w:cs="宋体"/>
      <w:color w:val="000000"/>
      <w:kern w:val="1"/>
      <w:sz w:val="21"/>
      <w:szCs w:val="28"/>
    </w:rPr>
  </w:style>
  <w:style w:type="paragraph" w:styleId="10">
    <w:name w:val="Body Text 2"/>
    <w:basedOn w:val="1"/>
    <w:qFormat/>
    <w:uiPriority w:val="0"/>
    <w:pPr>
      <w:spacing w:after="120" w:afterLines="0" w:afterAutospacing="0" w:line="480" w:lineRule="auto"/>
    </w:pPr>
  </w:style>
  <w:style w:type="paragraph" w:styleId="11">
    <w:name w:val="Balloon Text"/>
    <w:basedOn w:val="1"/>
    <w:link w:val="37"/>
    <w:qFormat/>
    <w:uiPriority w:val="0"/>
    <w:rPr>
      <w:sz w:val="18"/>
      <w:szCs w:val="18"/>
    </w:rPr>
  </w:style>
  <w:style w:type="paragraph" w:styleId="12">
    <w:name w:val="footer"/>
    <w:basedOn w:val="1"/>
    <w:link w:val="28"/>
    <w:unhideWhenUsed/>
    <w:qFormat/>
    <w:uiPriority w:val="99"/>
    <w:pPr>
      <w:tabs>
        <w:tab w:val="center" w:pos="4153"/>
        <w:tab w:val="right" w:pos="8306"/>
      </w:tabs>
      <w:snapToGrid w:val="0"/>
      <w:jc w:val="left"/>
    </w:pPr>
    <w:rPr>
      <w:sz w:val="18"/>
      <w:szCs w:val="18"/>
    </w:rPr>
  </w:style>
  <w:style w:type="paragraph" w:styleId="13">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1"/>
    <w:qFormat/>
    <w:uiPriority w:val="11"/>
    <w:pPr>
      <w:spacing w:before="240" w:after="60" w:line="312" w:lineRule="auto"/>
      <w:jc w:val="center"/>
      <w:outlineLvl w:val="1"/>
    </w:pPr>
    <w:rPr>
      <w:rFonts w:ascii="Cambria" w:hAnsi="Cambria"/>
      <w:b/>
      <w:bCs/>
      <w:kern w:val="28"/>
      <w:sz w:val="32"/>
      <w:szCs w:val="32"/>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link w:val="26"/>
    <w:qFormat/>
    <w:uiPriority w:val="10"/>
    <w:pPr>
      <w:spacing w:line="520" w:lineRule="exact"/>
      <w:jc w:val="center"/>
      <w:outlineLvl w:val="0"/>
    </w:pPr>
    <w:rPr>
      <w:rFonts w:ascii="Cambria" w:hAnsi="Cambria" w:eastAsia="方正小标宋简体"/>
      <w:bCs/>
      <w:sz w:val="44"/>
      <w:szCs w:val="32"/>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qFormat/>
    <w:uiPriority w:val="0"/>
  </w:style>
  <w:style w:type="character" w:styleId="22">
    <w:name w:val="FollowedHyperlink"/>
    <w:basedOn w:val="19"/>
    <w:semiHidden/>
    <w:unhideWhenUsed/>
    <w:qFormat/>
    <w:uiPriority w:val="99"/>
    <w:rPr>
      <w:rFonts w:hint="eastAsia" w:ascii="微软雅黑" w:hAnsi="微软雅黑" w:eastAsia="微软雅黑" w:cs="微软雅黑"/>
      <w:color w:val="333333"/>
      <w:u w:val="none"/>
    </w:rPr>
  </w:style>
  <w:style w:type="character" w:styleId="23">
    <w:name w:val="Hyperlink"/>
    <w:basedOn w:val="19"/>
    <w:semiHidden/>
    <w:unhideWhenUsed/>
    <w:qFormat/>
    <w:uiPriority w:val="99"/>
    <w:rPr>
      <w:rFonts w:ascii="微软雅黑" w:hAnsi="微软雅黑" w:eastAsia="微软雅黑" w:cs="微软雅黑"/>
      <w:color w:val="333333"/>
      <w:u w:val="none"/>
    </w:rPr>
  </w:style>
  <w:style w:type="character" w:styleId="24">
    <w:name w:val="annotation reference"/>
    <w:semiHidden/>
    <w:qFormat/>
    <w:uiPriority w:val="0"/>
    <w:rPr>
      <w:sz w:val="21"/>
      <w:szCs w:val="21"/>
    </w:rPr>
  </w:style>
  <w:style w:type="character" w:customStyle="1" w:styleId="25">
    <w:name w:val="标题 1 Char"/>
    <w:basedOn w:val="19"/>
    <w:link w:val="2"/>
    <w:qFormat/>
    <w:uiPriority w:val="9"/>
    <w:rPr>
      <w:rFonts w:ascii="Calibri" w:hAnsi="Calibri" w:eastAsia="黑体" w:cs="Calibri"/>
      <w:bCs/>
      <w:kern w:val="44"/>
      <w:sz w:val="32"/>
      <w:szCs w:val="44"/>
    </w:rPr>
  </w:style>
  <w:style w:type="character" w:customStyle="1" w:styleId="26">
    <w:name w:val="标题 Char"/>
    <w:basedOn w:val="19"/>
    <w:link w:val="16"/>
    <w:qFormat/>
    <w:uiPriority w:val="10"/>
    <w:rPr>
      <w:rFonts w:ascii="Cambria" w:hAnsi="Cambria" w:eastAsia="方正小标宋简体" w:cs="Times New Roman"/>
      <w:bCs/>
      <w:sz w:val="44"/>
      <w:szCs w:val="32"/>
    </w:rPr>
  </w:style>
  <w:style w:type="character" w:customStyle="1" w:styleId="27">
    <w:name w:val="页眉 Char"/>
    <w:basedOn w:val="19"/>
    <w:link w:val="13"/>
    <w:qFormat/>
    <w:uiPriority w:val="99"/>
    <w:rPr>
      <w:sz w:val="18"/>
      <w:szCs w:val="18"/>
    </w:rPr>
  </w:style>
  <w:style w:type="character" w:customStyle="1" w:styleId="28">
    <w:name w:val="页脚 Char"/>
    <w:basedOn w:val="19"/>
    <w:link w:val="12"/>
    <w:qFormat/>
    <w:uiPriority w:val="99"/>
    <w:rPr>
      <w:sz w:val="18"/>
      <w:szCs w:val="18"/>
    </w:rPr>
  </w:style>
  <w:style w:type="character" w:customStyle="1" w:styleId="29">
    <w:name w:val="文档结构图 Char"/>
    <w:basedOn w:val="19"/>
    <w:link w:val="6"/>
    <w:semiHidden/>
    <w:qFormat/>
    <w:uiPriority w:val="0"/>
    <w:rPr>
      <w:rFonts w:ascii="Times New Roman" w:hAnsi="Times New Roman" w:eastAsia="宋体" w:cs="Times New Roman"/>
      <w:szCs w:val="24"/>
      <w:shd w:val="clear" w:color="auto" w:fill="000080"/>
    </w:rPr>
  </w:style>
  <w:style w:type="paragraph" w:styleId="30">
    <w:name w:val="List Paragraph"/>
    <w:basedOn w:val="1"/>
    <w:qFormat/>
    <w:uiPriority w:val="34"/>
    <w:pPr>
      <w:widowControl/>
      <w:ind w:left="720"/>
      <w:contextualSpacing/>
      <w:jc w:val="left"/>
    </w:pPr>
    <w:rPr>
      <w:kern w:val="0"/>
      <w:sz w:val="24"/>
      <w:lang w:eastAsia="en-US"/>
    </w:rPr>
  </w:style>
  <w:style w:type="character" w:customStyle="1" w:styleId="31">
    <w:name w:val="副标题 Char"/>
    <w:basedOn w:val="19"/>
    <w:link w:val="14"/>
    <w:qFormat/>
    <w:uiPriority w:val="11"/>
    <w:rPr>
      <w:rFonts w:ascii="Cambria" w:hAnsi="Cambria" w:eastAsia="宋体" w:cs="Times New Roman"/>
      <w:b/>
      <w:bCs/>
      <w:kern w:val="28"/>
      <w:sz w:val="32"/>
      <w:szCs w:val="32"/>
    </w:rPr>
  </w:style>
  <w:style w:type="character" w:customStyle="1" w:styleId="32">
    <w:name w:val="纯文本 Char"/>
    <w:basedOn w:val="19"/>
    <w:link w:val="8"/>
    <w:qFormat/>
    <w:uiPriority w:val="99"/>
    <w:rPr>
      <w:rFonts w:ascii="宋体" w:hAnsi="宋体" w:eastAsia="仿宋_GB2312" w:cs="Times New Roman"/>
      <w:kern w:val="0"/>
      <w:sz w:val="28"/>
      <w:szCs w:val="21"/>
    </w:rPr>
  </w:style>
  <w:style w:type="paragraph" w:customStyle="1" w:styleId="33">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34">
    <w:name w:val="王奕改内文"/>
    <w:basedOn w:val="1"/>
    <w:link w:val="35"/>
    <w:qFormat/>
    <w:uiPriority w:val="0"/>
    <w:pPr>
      <w:widowControl/>
      <w:spacing w:line="360" w:lineRule="auto"/>
      <w:ind w:firstLine="200" w:firstLineChars="200"/>
    </w:pPr>
    <w:rPr>
      <w:rFonts w:ascii="宋体" w:hAnsi="宋体" w:cs="MS Shell Dlg"/>
      <w:color w:val="000000"/>
      <w:spacing w:val="-4"/>
      <w:kern w:val="0"/>
      <w:sz w:val="24"/>
    </w:rPr>
  </w:style>
  <w:style w:type="character" w:customStyle="1" w:styleId="35">
    <w:name w:val="王奕改内文 Char"/>
    <w:link w:val="34"/>
    <w:qFormat/>
    <w:uiPriority w:val="0"/>
    <w:rPr>
      <w:rFonts w:ascii="宋体" w:hAnsi="宋体" w:eastAsia="宋体" w:cs="MS Shell Dlg"/>
      <w:color w:val="000000"/>
      <w:spacing w:val="-4"/>
      <w:kern w:val="0"/>
      <w:sz w:val="24"/>
      <w:szCs w:val="24"/>
    </w:rPr>
  </w:style>
  <w:style w:type="paragraph" w:customStyle="1" w:styleId="36">
    <w:name w:val="列出段落1"/>
    <w:basedOn w:val="1"/>
    <w:qFormat/>
    <w:uiPriority w:val="0"/>
    <w:pPr>
      <w:ind w:firstLine="420" w:firstLineChars="200"/>
    </w:pPr>
    <w:rPr>
      <w:rFonts w:ascii="Calibri" w:hAnsi="Calibri"/>
      <w:szCs w:val="22"/>
    </w:rPr>
  </w:style>
  <w:style w:type="character" w:customStyle="1" w:styleId="37">
    <w:name w:val="批注框文本 Char"/>
    <w:basedOn w:val="19"/>
    <w:link w:val="11"/>
    <w:qFormat/>
    <w:uiPriority w:val="0"/>
    <w:rPr>
      <w:rFonts w:ascii="Times New Roman" w:hAnsi="Times New Roman" w:eastAsia="宋体" w:cs="Times New Roman"/>
      <w:sz w:val="18"/>
      <w:szCs w:val="18"/>
    </w:rPr>
  </w:style>
  <w:style w:type="character" w:customStyle="1" w:styleId="38">
    <w:name w:val="NormalCharacter"/>
    <w:semiHidden/>
    <w:qFormat/>
    <w:uiPriority w:val="0"/>
    <w:rPr>
      <w:kern w:val="2"/>
      <w:sz w:val="21"/>
      <w:szCs w:val="24"/>
      <w:lang w:val="en-US" w:eastAsia="zh-CN" w:bidi="ar-SA"/>
    </w:rPr>
  </w:style>
  <w:style w:type="character" w:customStyle="1" w:styleId="39">
    <w:name w:val="f101"/>
    <w:qFormat/>
    <w:uiPriority w:val="0"/>
    <w:rPr>
      <w:sz w:val="24"/>
      <w:szCs w:val="24"/>
    </w:rPr>
  </w:style>
  <w:style w:type="character" w:customStyle="1" w:styleId="40">
    <w:name w:val="span-title"/>
    <w:basedOn w:val="19"/>
    <w:qFormat/>
    <w:uiPriority w:val="0"/>
    <w:rPr>
      <w:bdr w:val="single" w:color="CCCCCC" w:sz="6" w:space="0"/>
      <w:shd w:val="clear" w:fill="FFFFFF"/>
    </w:rPr>
  </w:style>
  <w:style w:type="character" w:customStyle="1" w:styleId="41">
    <w:name w:val="before"/>
    <w:basedOn w:val="19"/>
    <w:qFormat/>
    <w:uiPriority w:val="0"/>
    <w:rPr>
      <w:rFonts w:ascii="LigatureSymbols" w:hAnsi="LigatureSymbols" w:eastAsia="LigatureSymbols" w:cs="LigatureSymbols"/>
      <w:sz w:val="120"/>
      <w:szCs w:val="120"/>
    </w:rPr>
  </w:style>
  <w:style w:type="character" w:customStyle="1" w:styleId="42">
    <w:name w:val="active2"/>
    <w:basedOn w:val="19"/>
    <w:qFormat/>
    <w:uiPriority w:val="0"/>
    <w:rPr>
      <w:b/>
      <w:bCs/>
      <w:color w:val="FF861B"/>
    </w:rPr>
  </w:style>
  <w:style w:type="character" w:customStyle="1" w:styleId="43">
    <w:name w:val="16"/>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94"/>
    <customShpInfo spid="_x0000_s109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CFDA</Company>
  <Pages>20</Pages>
  <Words>8080</Words>
  <Characters>8771</Characters>
  <Lines>61</Lines>
  <Paragraphs>17</Paragraphs>
  <TotalTime>0</TotalTime>
  <ScaleCrop>false</ScaleCrop>
  <LinksUpToDate>false</LinksUpToDate>
  <CharactersWithSpaces>8872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2017-03-22T08:34:00Z</dcterms:created>
  <dc:creator>王兴龙</dc:creator>
  <cp:lastModifiedBy>Administrator</cp:lastModifiedBy>
  <cp:lastPrinted>2021-04-26T08:07:00Z</cp:lastPrinted>
  <dcterms:modified xsi:type="dcterms:W3CDTF">2021-10-08T06:48:45Z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557D1C06B21B4FE1B312A412C0C71472</vt:lpwstr>
  </property>
</Properties>
</file>